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CA" w:rsidRDefault="004D3FCA">
      <w:bookmarkStart w:id="0" w:name="_GoBack"/>
      <w:bookmarkEnd w:id="0"/>
      <w:r>
        <w:rPr>
          <w:noProof/>
          <w:lang w:eastAsia="ru-RU"/>
        </w:rPr>
        <w:drawing>
          <wp:anchor distT="36195" distB="36195" distL="114300" distR="114300" simplePos="0" relativeHeight="251659264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183515</wp:posOffset>
            </wp:positionV>
            <wp:extent cx="5617210" cy="2035175"/>
            <wp:effectExtent l="0" t="0" r="0" b="0"/>
            <wp:wrapSquare wrapText="bothSides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FCA" w:rsidRDefault="004D3FCA"/>
    <w:p w:rsidR="004D3FCA" w:rsidRDefault="004D3FCA"/>
    <w:p w:rsidR="004D3FCA" w:rsidRDefault="004D3FCA"/>
    <w:p w:rsidR="004D3FCA" w:rsidRDefault="004D3FCA"/>
    <w:p w:rsidR="004D3FCA" w:rsidRDefault="004D3FCA"/>
    <w:p w:rsidR="00801B92" w:rsidRDefault="004D3FC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1080135</wp:posOffset>
            </wp:positionH>
            <wp:positionV relativeFrom="paragraph">
              <wp:posOffset>141605</wp:posOffset>
            </wp:positionV>
            <wp:extent cx="4069080" cy="1833880"/>
            <wp:effectExtent l="0" t="0" r="0" b="0"/>
            <wp:wrapTopAndBottom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65"/>
    <w:rsid w:val="004D3FCA"/>
    <w:rsid w:val="005B1665"/>
    <w:rsid w:val="0080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Динамика депопуляции населения России в 1992-2000 г.г.</a:t>
            </a:r>
          </a:p>
        </c:rich>
      </c:tx>
      <c:layout>
        <c:manualLayout>
          <c:xMode val="edge"/>
          <c:yMode val="edge"/>
          <c:x val="0.12931034482758622"/>
          <c:y val="1.9704433497536946E-2"/>
        </c:manualLayout>
      </c:layout>
      <c:overlay val="0"/>
      <c:spPr>
        <a:noFill/>
        <a:ln w="2538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793103448275865E-2"/>
          <c:y val="0.2857142857142857"/>
          <c:w val="0.7068965517241379"/>
          <c:h val="0.4729064039408866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Смертность</c:v>
                </c:pt>
              </c:strCache>
            </c:strRef>
          </c:tx>
          <c:spPr>
            <a:ln w="12695">
              <a:solidFill>
                <a:srgbClr val="333333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969696"/>
              </a:solidFill>
              <a:ln>
                <a:solidFill>
                  <a:srgbClr val="808080"/>
                </a:solidFill>
                <a:prstDash val="solid"/>
              </a:ln>
            </c:spPr>
          </c:marker>
          <c:cat>
            <c:numRef>
              <c:f>Sheet1!$B$1:$P$1</c:f>
              <c:numCache>
                <c:formatCode>General</c:formatCode>
                <c:ptCount val="15"/>
                <c:pt idx="0">
                  <c:v>1986</c:v>
                </c:pt>
                <c:pt idx="1">
                  <c:v>1987</c:v>
                </c:pt>
                <c:pt idx="2">
                  <c:v>1988</c:v>
                </c:pt>
                <c:pt idx="3">
                  <c:v>1989</c:v>
                </c:pt>
                <c:pt idx="4">
                  <c:v>1990</c:v>
                </c:pt>
                <c:pt idx="5">
                  <c:v>1991</c:v>
                </c:pt>
                <c:pt idx="6">
                  <c:v>1992</c:v>
                </c:pt>
                <c:pt idx="7">
                  <c:v>1993</c:v>
                </c:pt>
                <c:pt idx="8">
                  <c:v>1994</c:v>
                </c:pt>
                <c:pt idx="9">
                  <c:v>1995</c:v>
                </c:pt>
                <c:pt idx="10">
                  <c:v>1996</c:v>
                </c:pt>
                <c:pt idx="11">
                  <c:v>1997</c:v>
                </c:pt>
                <c:pt idx="12">
                  <c:v>1998</c:v>
                </c:pt>
                <c:pt idx="13">
                  <c:v>1999</c:v>
                </c:pt>
                <c:pt idx="14">
                  <c:v>2000</c:v>
                </c:pt>
              </c:numCache>
            </c:numRef>
          </c:cat>
          <c:val>
            <c:numRef>
              <c:f>Sheet1!$B$2:$P$2</c:f>
              <c:numCache>
                <c:formatCode>General</c:formatCode>
                <c:ptCount val="15"/>
                <c:pt idx="0">
                  <c:v>10.199999999999999</c:v>
                </c:pt>
                <c:pt idx="1">
                  <c:v>10.4</c:v>
                </c:pt>
                <c:pt idx="2">
                  <c:v>11</c:v>
                </c:pt>
                <c:pt idx="3">
                  <c:v>11.2</c:v>
                </c:pt>
                <c:pt idx="4">
                  <c:v>11.5</c:v>
                </c:pt>
                <c:pt idx="5">
                  <c:v>11.7</c:v>
                </c:pt>
                <c:pt idx="6">
                  <c:v>12.1</c:v>
                </c:pt>
                <c:pt idx="7">
                  <c:v>14.6</c:v>
                </c:pt>
                <c:pt idx="8">
                  <c:v>15.8</c:v>
                </c:pt>
                <c:pt idx="9">
                  <c:v>15</c:v>
                </c:pt>
                <c:pt idx="10">
                  <c:v>14.2</c:v>
                </c:pt>
                <c:pt idx="11">
                  <c:v>14</c:v>
                </c:pt>
                <c:pt idx="12">
                  <c:v>13.8</c:v>
                </c:pt>
                <c:pt idx="13">
                  <c:v>14.7</c:v>
                </c:pt>
                <c:pt idx="14">
                  <c:v>15.7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Рождаемость</c:v>
                </c:pt>
              </c:strCache>
            </c:strRef>
          </c:tx>
          <c:spPr>
            <a:ln w="12695">
              <a:solidFill>
                <a:srgbClr val="808080"/>
              </a:solidFill>
              <a:prstDash val="solid"/>
            </a:ln>
          </c:spPr>
          <c:marker>
            <c:symbol val="square"/>
            <c:size val="4"/>
            <c:spPr>
              <a:noFill/>
              <a:ln>
                <a:solidFill>
                  <a:srgbClr val="333333"/>
                </a:solidFill>
                <a:prstDash val="solid"/>
              </a:ln>
            </c:spPr>
          </c:marker>
          <c:cat>
            <c:numRef>
              <c:f>Sheet1!$B$1:$P$1</c:f>
              <c:numCache>
                <c:formatCode>General</c:formatCode>
                <c:ptCount val="15"/>
                <c:pt idx="0">
                  <c:v>1986</c:v>
                </c:pt>
                <c:pt idx="1">
                  <c:v>1987</c:v>
                </c:pt>
                <c:pt idx="2">
                  <c:v>1988</c:v>
                </c:pt>
                <c:pt idx="3">
                  <c:v>1989</c:v>
                </c:pt>
                <c:pt idx="4">
                  <c:v>1990</c:v>
                </c:pt>
                <c:pt idx="5">
                  <c:v>1991</c:v>
                </c:pt>
                <c:pt idx="6">
                  <c:v>1992</c:v>
                </c:pt>
                <c:pt idx="7">
                  <c:v>1993</c:v>
                </c:pt>
                <c:pt idx="8">
                  <c:v>1994</c:v>
                </c:pt>
                <c:pt idx="9">
                  <c:v>1995</c:v>
                </c:pt>
                <c:pt idx="10">
                  <c:v>1996</c:v>
                </c:pt>
                <c:pt idx="11">
                  <c:v>1997</c:v>
                </c:pt>
                <c:pt idx="12">
                  <c:v>1998</c:v>
                </c:pt>
                <c:pt idx="13">
                  <c:v>1999</c:v>
                </c:pt>
                <c:pt idx="14">
                  <c:v>2000</c:v>
                </c:pt>
              </c:numCache>
            </c:numRef>
          </c:cat>
          <c:val>
            <c:numRef>
              <c:f>Sheet1!$B$3:$P$3</c:f>
              <c:numCache>
                <c:formatCode>General</c:formatCode>
                <c:ptCount val="15"/>
                <c:pt idx="0">
                  <c:v>17.5</c:v>
                </c:pt>
                <c:pt idx="1">
                  <c:v>17.3</c:v>
                </c:pt>
                <c:pt idx="2">
                  <c:v>16</c:v>
                </c:pt>
                <c:pt idx="3">
                  <c:v>14.5</c:v>
                </c:pt>
                <c:pt idx="4">
                  <c:v>13.5</c:v>
                </c:pt>
                <c:pt idx="5">
                  <c:v>12.1</c:v>
                </c:pt>
                <c:pt idx="6">
                  <c:v>11.7</c:v>
                </c:pt>
                <c:pt idx="7">
                  <c:v>9</c:v>
                </c:pt>
                <c:pt idx="8">
                  <c:v>9.1999999999999993</c:v>
                </c:pt>
                <c:pt idx="9">
                  <c:v>9.3000000000000007</c:v>
                </c:pt>
                <c:pt idx="10">
                  <c:v>8.6999999999999993</c:v>
                </c:pt>
                <c:pt idx="11">
                  <c:v>8.5</c:v>
                </c:pt>
                <c:pt idx="12">
                  <c:v>8.6999999999999993</c:v>
                </c:pt>
                <c:pt idx="13">
                  <c:v>8.1999999999999993</c:v>
                </c:pt>
                <c:pt idx="14">
                  <c:v>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649536"/>
        <c:axId val="448764096"/>
      </c:lineChart>
      <c:catAx>
        <c:axId val="171649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48764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4876409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1649536"/>
        <c:crosses val="autoZero"/>
        <c:crossBetween val="between"/>
      </c:valAx>
      <c:spPr>
        <a:noFill/>
        <a:ln w="12695">
          <a:solidFill>
            <a:srgbClr val="969696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8793103448275859"/>
          <c:y val="0.41871921182266009"/>
          <c:w val="0.20517241379310344"/>
          <c:h val="0.2019704433497537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Динамика рождаемости в России</a:t>
            </a:r>
          </a:p>
        </c:rich>
      </c:tx>
      <c:layout>
        <c:manualLayout>
          <c:xMode val="edge"/>
          <c:yMode val="edge"/>
          <c:x val="0.23021582733812951"/>
          <c:y val="2.197802197802198E-2"/>
        </c:manualLayout>
      </c:layout>
      <c:overlay val="0"/>
      <c:spPr>
        <a:noFill/>
        <a:ln w="2541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6330935251798566E-2"/>
          <c:y val="0.28021978021978022"/>
          <c:w val="0.60431654676258995"/>
          <c:h val="0.5219780219780220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Суммарный коэффициент</c:v>
                </c:pt>
              </c:strCache>
            </c:strRef>
          </c:tx>
          <c:spPr>
            <a:ln w="12706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Sheet1!$B$1:$D$1</c:f>
              <c:numCache>
                <c:formatCode>General</c:formatCode>
                <c:ptCount val="3"/>
                <c:pt idx="0">
                  <c:v>1992</c:v>
                </c:pt>
                <c:pt idx="1">
                  <c:v>1997</c:v>
                </c:pt>
                <c:pt idx="2">
                  <c:v>2002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1.9</c:v>
                </c:pt>
                <c:pt idx="1">
                  <c:v>1.3</c:v>
                </c:pt>
                <c:pt idx="2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0420224"/>
        <c:axId val="218931200"/>
      </c:lineChart>
      <c:catAx>
        <c:axId val="41042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8931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8931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10420224"/>
        <c:crosses val="autoZero"/>
        <c:crossBetween val="between"/>
      </c:valAx>
      <c:spPr>
        <a:noFill/>
        <a:ln w="1270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462829736211031"/>
          <c:y val="0.44505494505494503"/>
          <c:w val="0.27577937649880097"/>
          <c:h val="0.1868131868131868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>diakov.net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2025-10-01T08:52:00Z</dcterms:created>
  <dcterms:modified xsi:type="dcterms:W3CDTF">2025-10-01T08:52:00Z</dcterms:modified>
</cp:coreProperties>
</file>