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0D1" w:rsidRPr="008430D1" w:rsidRDefault="008430D1" w:rsidP="008430D1">
      <w:pPr>
        <w:spacing w:after="300" w:line="240" w:lineRule="auto"/>
        <w:outlineLvl w:val="0"/>
        <w:rPr>
          <w:rFonts w:ascii="Montserrat" w:eastAsia="Times New Roman" w:hAnsi="Montserrat" w:cs="Times New Roman"/>
          <w:b/>
          <w:bCs/>
          <w:color w:val="333333"/>
          <w:spacing w:val="5"/>
          <w:kern w:val="36"/>
          <w:sz w:val="48"/>
          <w:szCs w:val="48"/>
          <w:lang w:eastAsia="ru-RU"/>
        </w:rPr>
      </w:pPr>
      <w:r w:rsidRPr="008430D1">
        <w:rPr>
          <w:rFonts w:ascii="Montserrat" w:eastAsia="Times New Roman" w:hAnsi="Montserrat" w:cs="Times New Roman"/>
          <w:b/>
          <w:bCs/>
          <w:color w:val="333333"/>
          <w:spacing w:val="5"/>
          <w:kern w:val="36"/>
          <w:sz w:val="48"/>
          <w:szCs w:val="48"/>
          <w:lang w:eastAsia="ru-RU"/>
        </w:rPr>
        <w:t>Математический анализ компьютерного моделирования адгезивных конструкций</w:t>
      </w:r>
    </w:p>
    <w:p w:rsidR="008430D1" w:rsidRPr="008430D1" w:rsidRDefault="008430D1" w:rsidP="008430D1">
      <w:pPr>
        <w:spacing w:line="240" w:lineRule="auto"/>
        <w:rPr>
          <w:rFonts w:ascii="Arial" w:eastAsia="Times New Roman" w:hAnsi="Arial" w:cs="Arial"/>
          <w:i/>
          <w:iCs/>
          <w:color w:val="333333"/>
          <w:sz w:val="30"/>
          <w:szCs w:val="30"/>
          <w:lang w:eastAsia="ru-RU"/>
        </w:rPr>
      </w:pPr>
      <w:bookmarkStart w:id="0" w:name="_GoBack"/>
      <w:bookmarkEnd w:id="0"/>
      <w:r w:rsidRPr="008430D1">
        <w:rPr>
          <w:rFonts w:ascii="Arial" w:eastAsia="Times New Roman" w:hAnsi="Arial" w:cs="Arial"/>
          <w:i/>
          <w:iCs/>
          <w:color w:val="333333"/>
          <w:sz w:val="30"/>
          <w:szCs w:val="30"/>
          <w:bdr w:val="none" w:sz="0" w:space="0" w:color="auto" w:frame="1"/>
          <w:lang w:eastAsia="ru-RU"/>
        </w:rPr>
        <w:t>Актуальной и одновременно сложной для решения задачей современной стоматологии является рациональное и полноценное восстановление целостности зубного ряда. Отсутствие группы жевательных и фронтальных зубов ряда оказывает негативное влияние на качество жизни индивида, включая как функциональный, так и эстетический аспект данной проблемы. Появление малого дефекта зубного ряда может не вызывать значительного нарушения функции откусывания или пережевывания пищи, но тем не менее, служит этиологическим фактором развития зубочелюстных аномалий и деформаций, распространенность которых составляет 28,8-55,0% от числа взрослого населения [1,2].</w:t>
      </w:r>
    </w:p>
    <w:p w:rsidR="008430D1" w:rsidRPr="008430D1" w:rsidRDefault="008430D1" w:rsidP="008430D1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Разработки современных методов анализа, обоснования и прогнозирования лечения пациентов с нарушением зубных дуг требуют тесной взаимосвязи медицинских, теоретических и технологических аспектов науки. Проведение исследований по усовершенствованию замещающих конструкций предусматривает использование фундаментальных теоретических разработок в области высшей математики и вычислительной техники. Так, применение методов математического и компьютерного моделирования существенно расширяет возможности экспериментальной и клинической практики [3, 4, 5]. Теоретические выкладки позволяют обосновать пути оптимизации конструкций замещающих протезов, прогнозировать сроки их эксплуатации, функциональное состояние опорных зубов и прилежащих к ним тканей [1, 3, 7].</w:t>
      </w:r>
    </w:p>
    <w:p w:rsidR="008430D1" w:rsidRPr="008430D1" w:rsidRDefault="008430D1" w:rsidP="008430D1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 xml:space="preserve">Для восполнения малых дефектов зубных рядов современная стоматология располагает большим арсеналом восстановительных методик. В него наряду с классическими протезами входят и достаточно новые, перспективные, динамично развивающиеся технологии. Одной из них является изготовление адгезивных конструкций на основе волоконного армирующего каркаса и композиционной облицовки. Данная малоинвазивная методика обладает рядом преимуществ, о чем свидетельствуют результаты научных исследований по данной тематике и большой интерес практикующих врачей. Дискуссионными остаются вопросы, связанные с прочностными </w:t>
      </w: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lastRenderedPageBreak/>
        <w:t>характеристиками адгезивных волоконных конструкций, прогнозом результатов лечения в отдаленные сроки и показаниям к выбору конструкции данных протезов [2].</w:t>
      </w:r>
    </w:p>
    <w:p w:rsidR="008430D1" w:rsidRPr="008430D1" w:rsidRDefault="008430D1" w:rsidP="008430D1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В опубликованных научных работах представлены ограниченные данные о влиянии расположения армирующего каркаса на показатели прочности адгезивных конструкций, что затрудняет разработку показаний дифференцированного выбора средств и методов реставрации дефектов зубного ряда [1, 6, 8].</w:t>
      </w:r>
    </w:p>
    <w:p w:rsidR="008430D1" w:rsidRPr="008430D1" w:rsidRDefault="008430D1" w:rsidP="008430D1">
      <w:pPr>
        <w:spacing w:after="0" w:line="240" w:lineRule="auto"/>
        <w:outlineLvl w:val="1"/>
        <w:rPr>
          <w:rFonts w:ascii="Segoe UI" w:eastAsia="Times New Roman" w:hAnsi="Segoe UI" w:cs="Segoe UI"/>
          <w:color w:val="006E91"/>
          <w:spacing w:val="5"/>
          <w:sz w:val="36"/>
          <w:szCs w:val="36"/>
          <w:lang w:eastAsia="ru-RU"/>
        </w:rPr>
      </w:pPr>
      <w:r w:rsidRPr="008430D1">
        <w:rPr>
          <w:rFonts w:ascii="Segoe UI" w:eastAsia="Times New Roman" w:hAnsi="Segoe UI" w:cs="Segoe UI"/>
          <w:color w:val="006E91"/>
          <w:spacing w:val="5"/>
          <w:sz w:val="36"/>
          <w:szCs w:val="36"/>
          <w:bdr w:val="none" w:sz="0" w:space="0" w:color="auto" w:frame="1"/>
          <w:lang w:eastAsia="ru-RU"/>
        </w:rPr>
        <w:t>Цель исследования</w:t>
      </w:r>
    </w:p>
    <w:p w:rsidR="008430D1" w:rsidRPr="008430D1" w:rsidRDefault="008430D1" w:rsidP="008430D1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Анализ результатов компьютерного моделирования напряженно-деформированного состояния (НДС) адгезивных волоконных конструкций (АВК) в зависимости от расположения армирующего каркаса с обоснованием оптимального варианта лечения в различных условиях.</w:t>
      </w:r>
    </w:p>
    <w:p w:rsidR="008430D1" w:rsidRPr="008430D1" w:rsidRDefault="008430D1" w:rsidP="008430D1">
      <w:pPr>
        <w:spacing w:after="0" w:line="240" w:lineRule="auto"/>
        <w:outlineLvl w:val="1"/>
        <w:rPr>
          <w:rFonts w:ascii="Segoe UI" w:eastAsia="Times New Roman" w:hAnsi="Segoe UI" w:cs="Segoe UI"/>
          <w:color w:val="006E91"/>
          <w:spacing w:val="5"/>
          <w:sz w:val="36"/>
          <w:szCs w:val="36"/>
          <w:lang w:eastAsia="ru-RU"/>
        </w:rPr>
      </w:pPr>
      <w:r w:rsidRPr="008430D1">
        <w:rPr>
          <w:rFonts w:ascii="Segoe UI" w:eastAsia="Times New Roman" w:hAnsi="Segoe UI" w:cs="Segoe UI"/>
          <w:color w:val="006E91"/>
          <w:spacing w:val="5"/>
          <w:sz w:val="36"/>
          <w:szCs w:val="36"/>
          <w:bdr w:val="none" w:sz="0" w:space="0" w:color="auto" w:frame="1"/>
          <w:lang w:eastAsia="ru-RU"/>
        </w:rPr>
        <w:t>Материалы и методы исследования</w:t>
      </w:r>
    </w:p>
    <w:p w:rsidR="008430D1" w:rsidRPr="008430D1" w:rsidRDefault="008430D1" w:rsidP="008430D1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 Для проведения расчетного определения НДС геометрически сложной биомеханической системы «зуб-протез», которая образуется при фиксации АВК на опорных зубах, был использован численный математический анализ на основе метода конечных элементов. Объектом исследования служили разработанные математические модели, отражающие функциональные особенности и строение системы «зуб-протез», включающей естественные опорные зубы, а также искусственные зубы, коронковая часть которых воссоздана с помощью адгезивных волоконных конструкций с различными вариантами расположения армирующего каркаса.</w:t>
      </w:r>
    </w:p>
    <w:p w:rsidR="008430D1" w:rsidRPr="008430D1" w:rsidRDefault="008430D1" w:rsidP="008430D1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 xml:space="preserve">Построение геометрических и конечно-элементных моделей, задание граничных условий, приложение нагрузок и расчет НДС АВК выполнялись в программном комплексе конечно-элементного анализа «ANSYS» (ANSYS Inc., США) на базе объединенного института машиностроения Национальной академии наук Беларуси. Поставленная задача решалась в трехмерной постановке. Рассматривались два вида нагружения моделей, отличающихся количеством и направлением действующих сил. Искомыми результатами расчета служили максимальные значения узловых растягивающих и эквивалентных (по Мизесу) напряжений, возникающих в конструкциях, а также графические материалы, отражающие картину НДС системы «зуб-протез» в виде изолиний полей напряжений для каждого режима нагружения. Результаты расчета НДС АВК являлись исходными данными для проведения сравнительного анализа напряжений </w:t>
      </w: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lastRenderedPageBreak/>
        <w:t>материала конструкций и выявления оптимального варианта расположения армирующего каркаса.</w:t>
      </w:r>
    </w:p>
    <w:p w:rsidR="008430D1" w:rsidRPr="008430D1" w:rsidRDefault="008430D1" w:rsidP="008430D1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Исследование состояло из трех этапов:</w:t>
      </w:r>
    </w:p>
    <w:p w:rsidR="008430D1" w:rsidRPr="008430D1" w:rsidRDefault="008430D1" w:rsidP="008430D1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Построение трехмерных геометрических моделей АВК с различными вариантами расположения армирующего каркаса в системе «зуб-протез».</w:t>
      </w:r>
    </w:p>
    <w:p w:rsidR="008430D1" w:rsidRPr="008430D1" w:rsidRDefault="008430D1" w:rsidP="008430D1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Разработка конечно-элементных моделей АВК с различными вариантами расположения армирующего каркаса и задание граничных условий для расчета.</w:t>
      </w:r>
    </w:p>
    <w:p w:rsidR="008430D1" w:rsidRPr="008430D1" w:rsidRDefault="008430D1" w:rsidP="008430D1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Расчет НДС АВК с различными вариантами расположения армирующего каркаса и анализ полученных результатов.</w:t>
      </w:r>
    </w:p>
    <w:p w:rsidR="008430D1" w:rsidRPr="008430D1" w:rsidRDefault="008430D1" w:rsidP="008430D1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При разработке математической конечно-элементной модели АВК в системе «зуб-протез» были приняты следующие допущения: материалы компонентов модели считаются изотропными, а для описания их свойств достаточно таких механических характеристик как модуль Юнга и коэффициент Пуассона, то есть нелинейные свойства материалов не учитываются. Исследования проводятся только в линейной области.</w:t>
      </w:r>
    </w:p>
    <w:p w:rsidR="008430D1" w:rsidRPr="008430D1" w:rsidRDefault="008430D1" w:rsidP="008430D1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В качестве исходных данных для построения моделей и их численной обработки была использована следующая информация: морфометрические параметры зубов и прилежащих к ним тканей; классическая методика изготовления адгезивных волоконных конструкций; механические характеристики зубных и прилежащих к ним тканей, светоотверждаемого композиционного материала и армирующей волоконной системы.</w:t>
      </w:r>
    </w:p>
    <w:p w:rsidR="008430D1" w:rsidRPr="008430D1" w:rsidRDefault="008430D1" w:rsidP="008430D1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На первом этапе, на основании морфометрических параметров зубов и прилежащих к ним тканей проводилось построение объемных геометрических моделей АВК в системе «зуб-протез». Геометрические модели разработаны на основе строения клинических моделей АВК, для создания которых был определен вариант отсутствия второго премоляра, с двухсторонней фиксацией протезов на опорных зубах: мезиально – на первом премоляре, дистально – на первом моляре </w:t>
      </w:r>
      <w:r w:rsidRPr="008430D1">
        <w:rPr>
          <w:rFonts w:ascii="Arial" w:eastAsia="Times New Roman" w:hAnsi="Arial" w:cs="Arial"/>
          <w:color w:val="006E91"/>
          <w:sz w:val="30"/>
          <w:szCs w:val="30"/>
          <w:bdr w:val="none" w:sz="0" w:space="0" w:color="auto" w:frame="1"/>
          <w:lang w:eastAsia="ru-RU"/>
        </w:rPr>
        <w:t>(рис. 1)</w:t>
      </w: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.</w:t>
      </w:r>
    </w:p>
    <w:p w:rsidR="008430D1" w:rsidRPr="008430D1" w:rsidRDefault="008430D1" w:rsidP="008430D1">
      <w:pPr>
        <w:shd w:val="clear" w:color="auto" w:fill="F2F2F2"/>
        <w:spacing w:before="300" w:after="225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Рис. 1. Общий вид трехмерной геометрической модели АВК: 1 – зуб 1; 2 – зуб 2; 3 – периодонт 1 и 2 зубов; 4 – тело протеза; 5 – сегмент альвеолярного отростка челюсти.</w:t>
      </w:r>
    </w:p>
    <w:p w:rsidR="008430D1" w:rsidRPr="008430D1" w:rsidRDefault="008430D1" w:rsidP="008430D1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 xml:space="preserve">Коронка отсутствующего зуба моделировалась в соответствии с усредненными морфометрическими параметрами второго </w:t>
      </w: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lastRenderedPageBreak/>
        <w:t>премоляра, при условии отсутствия в данной области зубочелюстных деформаций.</w:t>
      </w:r>
    </w:p>
    <w:p w:rsidR="008430D1" w:rsidRPr="008430D1" w:rsidRDefault="008430D1" w:rsidP="008430D1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При расчетах использовались условия закрепления, максимально приближенные к условиям фиксации естественного зуба в окружающих тканях. Для этого моделировался слой периодонта вокруг корня зуба. Предполагалось, что внешняя граница периодонта жестко прикреплена к костной ткани, которая считалась неподвижной. Принято допущение, что толщина периодонта равномерна и составляет 0,3 мм, а ширина альвеолярного отростка в проекции вершин корней зубов достигает 12,4±0,4 мм.</w:t>
      </w:r>
    </w:p>
    <w:p w:rsidR="008430D1" w:rsidRPr="008430D1" w:rsidRDefault="008430D1" w:rsidP="008430D1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На втором этапе исследования, на основе построенных геометрических моделей АВК, были разработаны четыре конечно-элементные модели. Для обеспечения возможности проведения сравнительного анализа НДС рассматриваемой биомеханической системы при разработке как геометрических, так и конечно-элементных моделей АВК выдвигалось требование идентичности их геометрии и схемы разбиения конечно-элементной сетки. Таким образом, исключалось влияние этих факторов на расчетные значения механических напряжений, возникающих в наиболее нагруженных зонах моделей. В результате все разработанные конечно-элементные модели АВК имели одинаковые количественные характеристики: 245933 элемента, 411141 узел, а также размер, занимаемый на жестком диске – 224 Мбайта </w:t>
      </w:r>
      <w:r w:rsidRPr="008430D1">
        <w:rPr>
          <w:rFonts w:ascii="Arial" w:eastAsia="Times New Roman" w:hAnsi="Arial" w:cs="Arial"/>
          <w:color w:val="006E91"/>
          <w:sz w:val="30"/>
          <w:szCs w:val="30"/>
          <w:bdr w:val="none" w:sz="0" w:space="0" w:color="auto" w:frame="1"/>
          <w:lang w:eastAsia="ru-RU"/>
        </w:rPr>
        <w:t>(рис. 2)</w:t>
      </w:r>
      <w:r w:rsidRPr="008430D1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8430D1" w:rsidRPr="008430D1" w:rsidRDefault="008430D1" w:rsidP="008430D1">
      <w:pPr>
        <w:shd w:val="clear" w:color="auto" w:fill="F2F2F2"/>
        <w:spacing w:before="300" w:after="225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Рис. 2. Конечно-элементная модель АВК.</w:t>
      </w:r>
    </w:p>
    <w:p w:rsidR="008430D1" w:rsidRPr="008430D1" w:rsidRDefault="008430D1" w:rsidP="008430D1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Приведено описание рассматриваемых моделей биомеханической системы АВК.</w:t>
      </w:r>
    </w:p>
    <w:p w:rsidR="008430D1" w:rsidRPr="008430D1" w:rsidRDefault="008430D1" w:rsidP="008430D1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Модель №1: адгезивная волоконная конструкция в системе «зуб-протез» с одним армирующим элементом, который расположен в вертикальной плоскости (перпендикулярно по отношению к альвеолярному отростку челюсти) в межзубном пространстве (теле протеза) и закреплен в той же плоскости на твердых тканях опорных зубов.</w:t>
      </w:r>
    </w:p>
    <w:p w:rsidR="008430D1" w:rsidRPr="008430D1" w:rsidRDefault="008430D1" w:rsidP="008430D1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Модель №2: адгезивная волоконная конструкция в системе «зуб-протез» с одним армирующим элементом, который расположен в горизонтальной плоскости (параллельно по отношению к альвеолярному отростку челюсти) в межзубном пространстве (теле протеза) и закреплен в той же плоскости на твердых тканях опорных зубов.</w:t>
      </w:r>
    </w:p>
    <w:p w:rsidR="008430D1" w:rsidRPr="008430D1" w:rsidRDefault="008430D1" w:rsidP="008430D1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lastRenderedPageBreak/>
        <w:t>Модель №3: адгезивная волоконная конструкция в системе «зуб-протез» с двумя армирующими элементами, которые расположены в вертикальной плоскости (перпендикулярно по отношению к альвеолярному отростку челюсти) в межзубном пространстве (теле протеза) и закреплены в той же плоскости на твердых тканях опорных зубов. При этом элементы каркаса между собой не контактируют, проходя параллельно друг другу.</w:t>
      </w:r>
    </w:p>
    <w:p w:rsidR="008430D1" w:rsidRPr="008430D1" w:rsidRDefault="008430D1" w:rsidP="008430D1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Модель №4: адгезивная волоконная конструкция в системе «зуб-протез» с двумя армирующими элементами, один из которых расположен в вертикальной (перпендикулярно по отношению к альвеолярному отростку челюсти), а второй – в горизонтальной (параллельно по отношению к альвеолярному отростку челюсти) плоскостях (взаимно перпендикулярно) в межзубном пространстве (теле протеза) и закреплены в тех же плоскостях на твердых тканях опорных зубов.</w:t>
      </w:r>
    </w:p>
    <w:p w:rsidR="008430D1" w:rsidRPr="008430D1" w:rsidRDefault="008430D1" w:rsidP="008430D1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На рисунке 3 приведены фрагменты конечно-элементных моделей (показаны только опорные зубы и варианты расположения армирующего волокна).</w:t>
      </w:r>
    </w:p>
    <w:p w:rsidR="008430D1" w:rsidRPr="008430D1" w:rsidRDefault="008430D1" w:rsidP="008430D1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При исследованиях были использованы характеристики следующих составляющих комплексной биомеханической системы «зуб-протез»: дентина и периодонта зубов, альвеолярной кости, композиционного материала FiltekТМ Z-250 (3M ESPE), армирующего волокна Ribbond (Ribbond) </w:t>
      </w:r>
      <w:r w:rsidRPr="008430D1">
        <w:rPr>
          <w:rFonts w:ascii="Arial" w:eastAsia="Times New Roman" w:hAnsi="Arial" w:cs="Arial"/>
          <w:color w:val="006E91"/>
          <w:sz w:val="30"/>
          <w:szCs w:val="30"/>
          <w:bdr w:val="none" w:sz="0" w:space="0" w:color="auto" w:frame="1"/>
          <w:lang w:eastAsia="ru-RU"/>
        </w:rPr>
        <w:t>(табл. № 1)</w:t>
      </w: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.</w:t>
      </w:r>
    </w:p>
    <w:p w:rsidR="008430D1" w:rsidRPr="008430D1" w:rsidRDefault="008430D1" w:rsidP="008430D1">
      <w:pPr>
        <w:spacing w:before="300" w:after="225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 зависимости от принадлежности к той или иной пространственной области модели рассматриваемой биомеханической системы, конечным элементам присваивались соответствующие механические свойства. Затем проводилось описание внешних воздействий и граничных условий. НДС всех элементов адгезивной волоконной конструкции при прочих равных условиях зависит от характера и места приложения нагрузки. С учетом этого факта нагрузка прилагалась к верхней центральной части волоконной конструкции, так как только в этом случае достигается максимальное напряжение между зубом и протезом.</w:t>
      </w:r>
    </w:p>
    <w:p w:rsidR="008430D1" w:rsidRPr="008430D1" w:rsidRDefault="008430D1" w:rsidP="008430D1">
      <w:pPr>
        <w:spacing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6E91"/>
          <w:sz w:val="30"/>
          <w:szCs w:val="30"/>
          <w:bdr w:val="none" w:sz="0" w:space="0" w:color="auto" w:frame="1"/>
          <w:lang w:eastAsia="ru-RU"/>
        </w:rPr>
        <w:t>Таблица 1. Механические характеристики материалов</w:t>
      </w:r>
    </w:p>
    <w:tbl>
      <w:tblPr>
        <w:tblW w:w="12016" w:type="dxa"/>
        <w:tblBorders>
          <w:top w:val="single" w:sz="6" w:space="0" w:color="5C5C5C"/>
          <w:left w:val="single" w:sz="6" w:space="0" w:color="5C5C5C"/>
          <w:bottom w:val="single" w:sz="6" w:space="0" w:color="5C5C5C"/>
          <w:right w:val="single" w:sz="6" w:space="0" w:color="5C5C5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7"/>
        <w:gridCol w:w="1642"/>
        <w:gridCol w:w="2797"/>
        <w:gridCol w:w="1205"/>
        <w:gridCol w:w="1408"/>
        <w:gridCol w:w="1797"/>
      </w:tblGrid>
      <w:tr w:rsidR="008430D1" w:rsidRPr="008430D1" w:rsidTr="008430D1">
        <w:trPr>
          <w:trHeight w:val="1425"/>
        </w:trPr>
        <w:tc>
          <w:tcPr>
            <w:tcW w:w="3164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Материал</w:t>
            </w:r>
            <w:r w:rsidRPr="00843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Параметры</w:t>
            </w:r>
          </w:p>
        </w:tc>
        <w:tc>
          <w:tcPr>
            <w:tcW w:w="1640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Волокно Ribbond</w:t>
            </w:r>
          </w:p>
        </w:tc>
        <w:tc>
          <w:tcPr>
            <w:tcW w:w="2794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Композит FiltekТМ Z-250</w:t>
            </w:r>
          </w:p>
        </w:tc>
        <w:tc>
          <w:tcPr>
            <w:tcW w:w="1204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Дентин</w:t>
            </w:r>
          </w:p>
        </w:tc>
        <w:tc>
          <w:tcPr>
            <w:tcW w:w="1406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Периодонт</w:t>
            </w:r>
          </w:p>
        </w:tc>
        <w:tc>
          <w:tcPr>
            <w:tcW w:w="1795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Костная ткань</w:t>
            </w:r>
          </w:p>
        </w:tc>
      </w:tr>
      <w:tr w:rsidR="008430D1" w:rsidRPr="008430D1" w:rsidTr="008430D1">
        <w:trPr>
          <w:trHeight w:val="345"/>
        </w:trPr>
        <w:tc>
          <w:tcPr>
            <w:tcW w:w="3164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Модуль упругости, МПа</w:t>
            </w:r>
          </w:p>
        </w:tc>
        <w:tc>
          <w:tcPr>
            <w:tcW w:w="1640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1,7(107</w:t>
            </w:r>
            <w:r w:rsidRPr="008430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5</w:t>
            </w:r>
          </w:p>
        </w:tc>
        <w:tc>
          <w:tcPr>
            <w:tcW w:w="2794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1,77(104</w:t>
            </w:r>
            <w:r w:rsidRPr="008430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4</w:t>
            </w:r>
          </w:p>
        </w:tc>
        <w:tc>
          <w:tcPr>
            <w:tcW w:w="1204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1,83(104</w:t>
            </w:r>
            <w:r w:rsidRPr="008430D1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4</w:t>
            </w:r>
          </w:p>
        </w:tc>
        <w:tc>
          <w:tcPr>
            <w:tcW w:w="1406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1,18</w:t>
            </w:r>
          </w:p>
        </w:tc>
        <w:tc>
          <w:tcPr>
            <w:tcW w:w="1795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4,9(10²</w:t>
            </w:r>
          </w:p>
        </w:tc>
      </w:tr>
      <w:tr w:rsidR="008430D1" w:rsidRPr="008430D1" w:rsidTr="008430D1">
        <w:trPr>
          <w:trHeight w:val="705"/>
        </w:trPr>
        <w:tc>
          <w:tcPr>
            <w:tcW w:w="3164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Коэффициент Пуассона, (</w:t>
            </w:r>
          </w:p>
        </w:tc>
        <w:tc>
          <w:tcPr>
            <w:tcW w:w="1640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0,3</w:t>
            </w:r>
          </w:p>
        </w:tc>
        <w:tc>
          <w:tcPr>
            <w:tcW w:w="2794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0,25</w:t>
            </w:r>
          </w:p>
        </w:tc>
        <w:tc>
          <w:tcPr>
            <w:tcW w:w="1204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0,3</w:t>
            </w:r>
          </w:p>
        </w:tc>
        <w:tc>
          <w:tcPr>
            <w:tcW w:w="1406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0,45</w:t>
            </w:r>
          </w:p>
        </w:tc>
        <w:tc>
          <w:tcPr>
            <w:tcW w:w="1795" w:type="dxa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0,4</w:t>
            </w:r>
          </w:p>
        </w:tc>
      </w:tr>
    </w:tbl>
    <w:p w:rsidR="008430D1" w:rsidRPr="008430D1" w:rsidRDefault="008430D1" w:rsidP="008430D1">
      <w:pPr>
        <w:spacing w:before="300" w:after="225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Нагрузка принята по данным Rus равной 150 Н, т.е. нижнему пределу силы возникающей во время пережевывания твердой пищи в области второго премоляра. Необходимо также отметить, что численное значение нагрузки в данной работе имеет достаточно формальное значение, так как выполняется сравнительный анализ различных вариантов армирования. Рассматривалось два вида нагружения моделей АВК, отличающихся количеством и направлением действующих на центральную часть протеза сил. Первый заключался в приложении к промежуточной части конструкции (телу протеза) только вертикальной силы величиной F1=150 Н, второй – комбинированное действие вертикальной F1 и горизонтальной F2 (в вестибуло-оральном направлении) силы одновременно при величине каждой 150 Н. Нагрузки, действующие на протез, моделировались сосредоточенными силами. Далее для всех четырех моделей выполнялся численный расчет напряженно-деформированного состояния. Данный этап работы благодаря применению программного комплекса конечно-элементного анализа «ANSYS» полностью автоматизирован.</w:t>
      </w:r>
    </w:p>
    <w:p w:rsidR="008430D1" w:rsidRPr="008430D1" w:rsidRDefault="008430D1" w:rsidP="008430D1">
      <w:pPr>
        <w:spacing w:after="0" w:line="240" w:lineRule="auto"/>
        <w:outlineLvl w:val="1"/>
        <w:rPr>
          <w:rFonts w:ascii="Segoe UI" w:eastAsia="Times New Roman" w:hAnsi="Segoe UI" w:cs="Segoe UI"/>
          <w:color w:val="006E91"/>
          <w:spacing w:val="5"/>
          <w:sz w:val="36"/>
          <w:szCs w:val="36"/>
          <w:lang w:eastAsia="ru-RU"/>
        </w:rPr>
      </w:pPr>
      <w:r w:rsidRPr="008430D1">
        <w:rPr>
          <w:rFonts w:ascii="Segoe UI" w:eastAsia="Times New Roman" w:hAnsi="Segoe UI" w:cs="Segoe UI"/>
          <w:color w:val="006E91"/>
          <w:spacing w:val="5"/>
          <w:sz w:val="36"/>
          <w:szCs w:val="36"/>
          <w:bdr w:val="none" w:sz="0" w:space="0" w:color="auto" w:frame="1"/>
          <w:lang w:eastAsia="ru-RU"/>
        </w:rPr>
        <w:t>Результаты исследования</w:t>
      </w:r>
    </w:p>
    <w:p w:rsidR="008430D1" w:rsidRPr="008430D1" w:rsidRDefault="008430D1" w:rsidP="008430D1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Анализ графических и численных данных, полученных в результате проведенного исследования НДС АВК, показал, что для всех рассматриваемых расчетных случаев наибольшие растягивающие и эквивалентные напряжения возникали в композиционном материале конструкций в зоне приложения нагрузки, локализующейся в центре окклюзионной поверхности промежуточной части протеза. Данный факт обусловлен локальным характером приложение нагрузки. Помимо этого, концентрация напряжений в зоне приложения действующих сил не отражает рассматриваемые свойства биомеханической системы АВК. Растягивающие и эквивалентные напряжения для всех 4-х моделей в этой зоне были одинаковы и составили 38,2 МПа и 132 МПа соответственно (растягивающие/эквивалентные) при первом варианте нагружения и 454 МПа и 453 МПа (растягивающие/эквивалентные) при втором. Поэтому зона приложения нагрузки из дальнейшего рассмотрения исключалась.</w:t>
      </w:r>
    </w:p>
    <w:p w:rsidR="008430D1" w:rsidRPr="008430D1" w:rsidRDefault="008430D1" w:rsidP="008430D1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lastRenderedPageBreak/>
        <w:t>Следующая по величине развивающихся во всех конструкциях растягивающих и эквивалентных напряжений зона располагалась также в композиционном материале конструкций, в крайней нижней (пришеечной) точке области соединения промежуточной части протеза и моляра. Эта зона показана на примере модели №4 на рисунках 4 и 5 для случаев действия вертикальной и комбинированной нагрузки соответственно.</w:t>
      </w:r>
    </w:p>
    <w:p w:rsidR="008430D1" w:rsidRPr="008430D1" w:rsidRDefault="008430D1" w:rsidP="008430D1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Полученные в результате проведенного исследования максимальные значения растягивающих и эквивалентных (по Мизесу) напряжений, возникающих в композиционном материале конструкций моделей АВК под действием двух видов нагрузок, представлены в таблице 2.</w:t>
      </w:r>
    </w:p>
    <w:p w:rsidR="008430D1" w:rsidRPr="008430D1" w:rsidRDefault="008430D1" w:rsidP="008430D1">
      <w:pPr>
        <w:spacing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6E91"/>
          <w:sz w:val="30"/>
          <w:szCs w:val="30"/>
          <w:bdr w:val="none" w:sz="0" w:space="0" w:color="auto" w:frame="1"/>
          <w:lang w:eastAsia="ru-RU"/>
        </w:rPr>
        <w:t>Таблица 2. Значения максимальных напряжений в материале конструкций (МПа)</w:t>
      </w:r>
    </w:p>
    <w:tbl>
      <w:tblPr>
        <w:tblW w:w="12150" w:type="dxa"/>
        <w:tblBorders>
          <w:top w:val="single" w:sz="6" w:space="0" w:color="5C5C5C"/>
          <w:left w:val="single" w:sz="6" w:space="0" w:color="5C5C5C"/>
          <w:bottom w:val="single" w:sz="6" w:space="0" w:color="5C5C5C"/>
          <w:right w:val="single" w:sz="6" w:space="0" w:color="5C5C5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2800"/>
        <w:gridCol w:w="2730"/>
        <w:gridCol w:w="2800"/>
        <w:gridCol w:w="2730"/>
      </w:tblGrid>
      <w:tr w:rsidR="008430D1" w:rsidRPr="008430D1" w:rsidTr="008430D1">
        <w:trPr>
          <w:trHeight w:val="345"/>
        </w:trPr>
        <w:tc>
          <w:tcPr>
            <w:tcW w:w="0" w:type="auto"/>
            <w:vMerge w:val="restart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 Модели</w:t>
            </w:r>
          </w:p>
        </w:tc>
        <w:tc>
          <w:tcPr>
            <w:tcW w:w="0" w:type="auto"/>
            <w:gridSpan w:val="2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Вертикальная нагрузка</w:t>
            </w:r>
          </w:p>
        </w:tc>
        <w:tc>
          <w:tcPr>
            <w:tcW w:w="0" w:type="auto"/>
            <w:gridSpan w:val="2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Комбинированная нагрузка</w:t>
            </w:r>
          </w:p>
        </w:tc>
      </w:tr>
      <w:tr w:rsidR="008430D1" w:rsidRPr="008430D1" w:rsidTr="008430D1">
        <w:trPr>
          <w:trHeight w:val="705"/>
        </w:trPr>
        <w:tc>
          <w:tcPr>
            <w:tcW w:w="0" w:type="auto"/>
            <w:vMerge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b/>
                <w:bCs/>
                <w:color w:val="006E91"/>
                <w:sz w:val="24"/>
                <w:szCs w:val="24"/>
                <w:bdr w:val="none" w:sz="0" w:space="0" w:color="auto" w:frame="1"/>
                <w:lang w:eastAsia="ru-RU"/>
              </w:rPr>
              <w:t>Максимальное растягивающее напряжение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b/>
                <w:bCs/>
                <w:color w:val="006E91"/>
                <w:sz w:val="24"/>
                <w:szCs w:val="24"/>
                <w:bdr w:val="none" w:sz="0" w:space="0" w:color="auto" w:frame="1"/>
                <w:lang w:eastAsia="ru-RU"/>
              </w:rPr>
              <w:t>Максимальное эквивалентное напряжение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b/>
                <w:bCs/>
                <w:color w:val="006E91"/>
                <w:sz w:val="24"/>
                <w:szCs w:val="24"/>
                <w:bdr w:val="none" w:sz="0" w:space="0" w:color="auto" w:frame="1"/>
                <w:lang w:eastAsia="ru-RU"/>
              </w:rPr>
              <w:t>Максимальное растягивающее напряжение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b/>
                <w:bCs/>
                <w:color w:val="006E91"/>
                <w:sz w:val="24"/>
                <w:szCs w:val="24"/>
                <w:bdr w:val="none" w:sz="0" w:space="0" w:color="auto" w:frame="1"/>
                <w:lang w:eastAsia="ru-RU"/>
              </w:rPr>
              <w:t>Максимальное эквивалентное напряжение</w:t>
            </w:r>
          </w:p>
        </w:tc>
      </w:tr>
      <w:tr w:rsidR="008430D1" w:rsidRPr="008430D1" w:rsidTr="008430D1">
        <w:trPr>
          <w:trHeight w:val="345"/>
        </w:trPr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15,1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45,4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42,8</w:t>
            </w:r>
          </w:p>
        </w:tc>
      </w:tr>
      <w:tr w:rsidR="008430D1" w:rsidRPr="008430D1" w:rsidTr="008430D1">
        <w:trPr>
          <w:trHeight w:val="345"/>
        </w:trPr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12,8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12,1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52,2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49,2</w:t>
            </w:r>
          </w:p>
        </w:tc>
      </w:tr>
      <w:tr w:rsidR="008430D1" w:rsidRPr="008430D1" w:rsidTr="008430D1">
        <w:trPr>
          <w:trHeight w:val="345"/>
        </w:trPr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13,5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12,7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42,6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40,1</w:t>
            </w:r>
          </w:p>
        </w:tc>
      </w:tr>
      <w:tr w:rsidR="008430D1" w:rsidRPr="008430D1" w:rsidTr="008430D1">
        <w:trPr>
          <w:trHeight w:val="345"/>
        </w:trPr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12,6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11,9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41,7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39,4</w:t>
            </w:r>
          </w:p>
        </w:tc>
      </w:tr>
    </w:tbl>
    <w:p w:rsidR="008430D1" w:rsidRPr="008430D1" w:rsidRDefault="008430D1" w:rsidP="008430D1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Анализ полученных результатов расчета НДС рассматриваемой биомеханической системы АВК показывает, что наименьшие значения механических напряжений в материале конструкции имеют место для модели №4, которой соответствует вариант расположения двух отрезков армирующего волокна во взаимно перпендикулярных областях </w:t>
      </w:r>
      <w:r w:rsidRPr="008430D1">
        <w:rPr>
          <w:rFonts w:ascii="Arial" w:eastAsia="Times New Roman" w:hAnsi="Arial" w:cs="Arial"/>
          <w:color w:val="006E91"/>
          <w:sz w:val="30"/>
          <w:szCs w:val="30"/>
          <w:bdr w:val="none" w:sz="0" w:space="0" w:color="auto" w:frame="1"/>
          <w:lang w:eastAsia="ru-RU"/>
        </w:rPr>
        <w:t>(рис. 3, модель №4)</w:t>
      </w: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. При действии вертикальной нагрузки максимальные напряжения возникают в композиционном материале конструкции, в крайней нижней (пришеечной) точке области соединения промежуточной части протеза и моляра. В случае действия комбинированной нагрузки зоны возникновения максимальных напряжений не изменяются.</w:t>
      </w:r>
    </w:p>
    <w:p w:rsidR="008430D1" w:rsidRPr="008430D1" w:rsidRDefault="008430D1" w:rsidP="008430D1">
      <w:pPr>
        <w:shd w:val="clear" w:color="auto" w:fill="F2F2F2"/>
        <w:spacing w:before="300" w:after="225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Рисунок 3. Структурные особенности конечно-элементных моделей АВК.</w:t>
      </w:r>
    </w:p>
    <w:p w:rsidR="008430D1" w:rsidRPr="008430D1" w:rsidRDefault="008430D1" w:rsidP="008430D1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 xml:space="preserve">Для более удобного представления и сопоставления полученных данных расчета НДС биомеханической системы АВК, </w:t>
      </w: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lastRenderedPageBreak/>
        <w:t>представленных в таблице 2, проведем их сравнительный анализ. Задача этого анализа – определить численные значения, позволяющие отразить преимущество применения варианта расположения армирующего волокна, соответствующего модели №4. С этой целью предложено использовать удельный показатель, характеризующий относительное снижение величины механических напряжений в рассматриваемой биомеханической системе АВК – ∆σ вызванное применением армирующего каркаса модели №4, по сравнению с остальными вариантами. Данный показатель рассчитывался с использованием следующей зависимости:</w:t>
      </w:r>
    </w:p>
    <w:p w:rsidR="008430D1" w:rsidRPr="008430D1" w:rsidRDefault="008430D1" w:rsidP="008430D1">
      <w:pPr>
        <w:numPr>
          <w:ilvl w:val="0"/>
          <w:numId w:val="2"/>
        </w:numPr>
        <w:spacing w:after="0" w:line="240" w:lineRule="auto"/>
        <w:ind w:left="30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где σс – максимальные напряжения в материале конструкции сравниваемого варианта расположения армирующего волокна (модели №1-3) с моделью №4; σб – максимальные напряжения в материале конструкции модели №4.</w:t>
      </w:r>
    </w:p>
    <w:p w:rsidR="008430D1" w:rsidRPr="008430D1" w:rsidRDefault="008430D1" w:rsidP="008430D1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Полученные в результате расчета удельные показатели представлены в </w:t>
      </w:r>
      <w:r w:rsidRPr="008430D1">
        <w:rPr>
          <w:rFonts w:ascii="Arial" w:eastAsia="Times New Roman" w:hAnsi="Arial" w:cs="Arial"/>
          <w:color w:val="006E91"/>
          <w:sz w:val="30"/>
          <w:szCs w:val="30"/>
          <w:bdr w:val="none" w:sz="0" w:space="0" w:color="auto" w:frame="1"/>
          <w:lang w:eastAsia="ru-RU"/>
        </w:rPr>
        <w:t>таблице 3</w:t>
      </w: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.</w:t>
      </w:r>
    </w:p>
    <w:p w:rsidR="008430D1" w:rsidRPr="008430D1" w:rsidRDefault="008430D1" w:rsidP="008430D1">
      <w:pPr>
        <w:spacing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6E91"/>
          <w:sz w:val="30"/>
          <w:szCs w:val="30"/>
          <w:bdr w:val="none" w:sz="0" w:space="0" w:color="auto" w:frame="1"/>
          <w:lang w:eastAsia="ru-RU"/>
        </w:rPr>
        <w:t>Таблица 3. Относительное снижение нагруженности материала конструкции</w:t>
      </w:r>
    </w:p>
    <w:tbl>
      <w:tblPr>
        <w:tblW w:w="0" w:type="auto"/>
        <w:tblBorders>
          <w:top w:val="single" w:sz="6" w:space="0" w:color="5C5C5C"/>
          <w:left w:val="single" w:sz="6" w:space="0" w:color="5C5C5C"/>
          <w:bottom w:val="single" w:sz="6" w:space="0" w:color="5C5C5C"/>
          <w:right w:val="single" w:sz="6" w:space="0" w:color="5C5C5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151"/>
        <w:gridCol w:w="2105"/>
        <w:gridCol w:w="2151"/>
        <w:gridCol w:w="2105"/>
      </w:tblGrid>
      <w:tr w:rsidR="008430D1" w:rsidRPr="008430D1" w:rsidTr="008430D1">
        <w:tc>
          <w:tcPr>
            <w:tcW w:w="0" w:type="auto"/>
            <w:vMerge w:val="restart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 модели</w:t>
            </w:r>
          </w:p>
        </w:tc>
        <w:tc>
          <w:tcPr>
            <w:tcW w:w="0" w:type="auto"/>
            <w:gridSpan w:val="2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Вертикальная нагрузка</w:t>
            </w:r>
          </w:p>
        </w:tc>
        <w:tc>
          <w:tcPr>
            <w:tcW w:w="0" w:type="auto"/>
            <w:gridSpan w:val="2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Комбинированная нагрузка</w:t>
            </w:r>
          </w:p>
        </w:tc>
      </w:tr>
      <w:tr w:rsidR="008430D1" w:rsidRPr="008430D1" w:rsidTr="008430D1">
        <w:tc>
          <w:tcPr>
            <w:tcW w:w="0" w:type="auto"/>
            <w:vMerge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b/>
                <w:bCs/>
                <w:color w:val="006E91"/>
                <w:sz w:val="24"/>
                <w:szCs w:val="24"/>
                <w:bdr w:val="none" w:sz="0" w:space="0" w:color="auto" w:frame="1"/>
                <w:lang w:eastAsia="ru-RU"/>
              </w:rPr>
              <w:t>растягивающие напряжения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b/>
                <w:bCs/>
                <w:color w:val="006E91"/>
                <w:sz w:val="24"/>
                <w:szCs w:val="24"/>
                <w:bdr w:val="none" w:sz="0" w:space="0" w:color="auto" w:frame="1"/>
                <w:lang w:eastAsia="ru-RU"/>
              </w:rPr>
              <w:t>эквивалентные напряжения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b/>
                <w:bCs/>
                <w:color w:val="006E91"/>
                <w:sz w:val="24"/>
                <w:szCs w:val="24"/>
                <w:bdr w:val="none" w:sz="0" w:space="0" w:color="auto" w:frame="1"/>
                <w:lang w:eastAsia="ru-RU"/>
              </w:rPr>
              <w:t>растягивающие напряжения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b/>
                <w:bCs/>
                <w:color w:val="006E91"/>
                <w:sz w:val="24"/>
                <w:szCs w:val="24"/>
                <w:bdr w:val="none" w:sz="0" w:space="0" w:color="auto" w:frame="1"/>
                <w:lang w:eastAsia="ru-RU"/>
              </w:rPr>
              <w:t>эквивалентные напряжения</w:t>
            </w:r>
          </w:p>
        </w:tc>
      </w:tr>
      <w:tr w:rsidR="008430D1" w:rsidRPr="008430D1" w:rsidTr="008430D1"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21,2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21,2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8,1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7,9</w:t>
            </w:r>
          </w:p>
        </w:tc>
      </w:tr>
      <w:tr w:rsidR="008430D1" w:rsidRPr="008430D1" w:rsidTr="008430D1"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1,6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20,1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19,9</w:t>
            </w:r>
          </w:p>
        </w:tc>
      </w:tr>
      <w:tr w:rsidR="008430D1" w:rsidRPr="008430D1" w:rsidTr="008430D1"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6,7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6,3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single" w:sz="6" w:space="0" w:color="5C5C5C"/>
              <w:left w:val="single" w:sz="6" w:space="0" w:color="5C5C5C"/>
              <w:bottom w:val="single" w:sz="6" w:space="0" w:color="5C5C5C"/>
              <w:right w:val="single" w:sz="6" w:space="0" w:color="5C5C5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30D1" w:rsidRPr="008430D1" w:rsidRDefault="008430D1" w:rsidP="0084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0D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1,7</w:t>
            </w:r>
          </w:p>
        </w:tc>
      </w:tr>
    </w:tbl>
    <w:p w:rsidR="008430D1" w:rsidRPr="008430D1" w:rsidRDefault="008430D1" w:rsidP="008430D1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br/>
        <w:t xml:space="preserve">Результаты сравнительного анализа нагруженности АВК показывают, что применение варианта расположения двух отрезков армирующего волокна во взаимно перпендикулярных областях, соответствующего модели №4, позволяет снизить механические напряжения в наиболее нагруженных зонах материала конструкции на 20% по сравнению с применением для укладки одного волокна с различной его пространственной ориентацией и на 6,3% по сравнению с применением для армирования двух отрезков волокна, расположенных в вертикальной плоскости. Необходимо отметить, что полученные результаты соответствуют двум наиболее часто встречающимся в клинической практике случаям нагружения АВК – действию только вертикальной, а также комбинированной (вертикальной и горизонтальной) нагрузок. При этом следует отметить, что </w:t>
      </w: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lastRenderedPageBreak/>
        <w:t>вариант расположения двух армирующих волокон во взаимно перпендикулярных плоскостях является наиболее эффективным, так как ориентация волокон в нем способствует снижению нагруженности материала конструкций при действии, как одиночной нагрузки, так и сил приложенных в двух взаимно перпендикулярных направлениях.</w:t>
      </w:r>
    </w:p>
    <w:p w:rsidR="008430D1" w:rsidRPr="008430D1" w:rsidRDefault="008430D1" w:rsidP="008430D1">
      <w:pPr>
        <w:spacing w:after="0" w:line="240" w:lineRule="auto"/>
        <w:outlineLvl w:val="1"/>
        <w:rPr>
          <w:rFonts w:ascii="Segoe UI" w:eastAsia="Times New Roman" w:hAnsi="Segoe UI" w:cs="Segoe UI"/>
          <w:color w:val="006E91"/>
          <w:spacing w:val="5"/>
          <w:sz w:val="36"/>
          <w:szCs w:val="36"/>
          <w:lang w:eastAsia="ru-RU"/>
        </w:rPr>
      </w:pPr>
      <w:r w:rsidRPr="008430D1">
        <w:rPr>
          <w:rFonts w:ascii="Segoe UI" w:eastAsia="Times New Roman" w:hAnsi="Segoe UI" w:cs="Segoe UI"/>
          <w:color w:val="006E91"/>
          <w:spacing w:val="5"/>
          <w:sz w:val="36"/>
          <w:szCs w:val="36"/>
          <w:bdr w:val="none" w:sz="0" w:space="0" w:color="auto" w:frame="1"/>
          <w:lang w:eastAsia="ru-RU"/>
        </w:rPr>
        <w:t>Выводы</w:t>
      </w:r>
    </w:p>
    <w:p w:rsidR="008430D1" w:rsidRPr="008430D1" w:rsidRDefault="008430D1" w:rsidP="008430D1">
      <w:pPr>
        <w:numPr>
          <w:ilvl w:val="0"/>
          <w:numId w:val="3"/>
        </w:numPr>
        <w:spacing w:after="0" w:line="240" w:lineRule="auto"/>
        <w:ind w:left="30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Расположение двух армирующих волокон во взаимно перпендикулярных плоскостях при действии, как вертикальной, так и комбинированной нагрузки, позволяет снизить механические напряжения в наиболее нагруженных зонах материала АВК до 20% по сравнению с применением одного волоконного каркаса с различной его пространственной ориентацией и до 6,3% по сравнению с применением двух отрезков волокна, расположенных в вертикальной плоскости.</w:t>
      </w:r>
    </w:p>
    <w:p w:rsidR="008430D1" w:rsidRPr="008430D1" w:rsidRDefault="008430D1" w:rsidP="008430D1">
      <w:pPr>
        <w:numPr>
          <w:ilvl w:val="0"/>
          <w:numId w:val="3"/>
        </w:numPr>
        <w:spacing w:after="0" w:line="240" w:lineRule="auto"/>
        <w:ind w:left="30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Концентрация максимальных значений растягивающих и эквивалентных напряжений во всех конструкциях происходит в крайней нижней (пришеечной) точке области соединения промежуточной части протеза и первого моляра.</w:t>
      </w:r>
    </w:p>
    <w:p w:rsidR="008430D1" w:rsidRPr="008430D1" w:rsidRDefault="008430D1" w:rsidP="008430D1">
      <w:pPr>
        <w:numPr>
          <w:ilvl w:val="0"/>
          <w:numId w:val="3"/>
        </w:numPr>
        <w:spacing w:after="0" w:line="240" w:lineRule="auto"/>
        <w:ind w:left="30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При действии изолированной вертикальной нагрузки наибольшие значения растягивающих и эквивалентных напряжений фиксируются в конструкциях с вертикальным вариантом расположения как одного, так и двух армирующих волокон.</w:t>
      </w:r>
    </w:p>
    <w:p w:rsidR="008430D1" w:rsidRPr="008430D1" w:rsidRDefault="008430D1" w:rsidP="008430D1">
      <w:pPr>
        <w:numPr>
          <w:ilvl w:val="0"/>
          <w:numId w:val="3"/>
        </w:numPr>
        <w:spacing w:after="0" w:line="240" w:lineRule="auto"/>
        <w:ind w:left="30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При действии комбинированной нагрузки наибольшие значения растягивающих и эквивалентных напряжений определяются в конструкциях с различными вариантами расположения одного армирующего волокна.</w:t>
      </w:r>
    </w:p>
    <w:p w:rsidR="008430D1" w:rsidRPr="008430D1" w:rsidRDefault="008430D1" w:rsidP="008430D1">
      <w:pPr>
        <w:numPr>
          <w:ilvl w:val="0"/>
          <w:numId w:val="3"/>
        </w:numPr>
        <w:spacing w:line="240" w:lineRule="auto"/>
        <w:ind w:left="300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430D1">
        <w:rPr>
          <w:rFonts w:ascii="Arial" w:eastAsia="Times New Roman" w:hAnsi="Arial" w:cs="Arial"/>
          <w:color w:val="000000"/>
          <w:sz w:val="30"/>
          <w:szCs w:val="30"/>
          <w:bdr w:val="none" w:sz="0" w:space="0" w:color="auto" w:frame="1"/>
          <w:lang w:eastAsia="ru-RU"/>
        </w:rPr>
        <w:t>При изменении направления действующих на АВК сил фиксируется увеличение значений узловых растягивающих и эквивалентных (по Мизесу) напряжений во всех видах конструкций.</w:t>
      </w:r>
    </w:p>
    <w:p w:rsidR="001D5FB7" w:rsidRDefault="001D5FB7"/>
    <w:sectPr w:rsidR="001D5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572BD"/>
    <w:multiLevelType w:val="multilevel"/>
    <w:tmpl w:val="3FDE7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C32886"/>
    <w:multiLevelType w:val="multilevel"/>
    <w:tmpl w:val="CB58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E044EF"/>
    <w:multiLevelType w:val="multilevel"/>
    <w:tmpl w:val="A4222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1B1"/>
    <w:rsid w:val="001D5FB7"/>
    <w:rsid w:val="003941B1"/>
    <w:rsid w:val="0084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30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430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30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30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4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30D1"/>
    <w:rPr>
      <w:b/>
      <w:bCs/>
    </w:rPr>
  </w:style>
  <w:style w:type="paragraph" w:customStyle="1" w:styleId="wp-caption-text">
    <w:name w:val="wp-caption-text"/>
    <w:basedOn w:val="a"/>
    <w:rsid w:val="0084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30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430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30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30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4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30D1"/>
    <w:rPr>
      <w:b/>
      <w:bCs/>
    </w:rPr>
  </w:style>
  <w:style w:type="paragraph" w:customStyle="1" w:styleId="wp-caption-text">
    <w:name w:val="wp-caption-text"/>
    <w:basedOn w:val="a"/>
    <w:rsid w:val="00843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5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45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05114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single" w:sz="48" w:space="11" w:color="auto"/>
                <w:bottom w:val="none" w:sz="0" w:space="0" w:color="auto"/>
                <w:right w:val="none" w:sz="0" w:space="0" w:color="auto"/>
              </w:divBdr>
            </w:div>
            <w:div w:id="99788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43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7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4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2627</Words>
  <Characters>14975</Characters>
  <Application>Microsoft Office Word</Application>
  <DocSecurity>0</DocSecurity>
  <Lines>124</Lines>
  <Paragraphs>35</Paragraphs>
  <ScaleCrop>false</ScaleCrop>
  <Company>diakov.net</Company>
  <LinksUpToDate>false</LinksUpToDate>
  <CharactersWithSpaces>17567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2026-08-31T06:11:00Z</dcterms:created>
  <dcterms:modified xsi:type="dcterms:W3CDTF">2026-08-31T06:11:00Z</dcterms:modified>
</cp:coreProperties>
</file>