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60AC" w:rsidRDefault="00D760AC" w:rsidP="00D760AC">
      <w:pPr>
        <w:pStyle w:val="a3"/>
      </w:pPr>
      <w:r>
        <w:t>Рецензия на коллективную монографию «Правовые механизмы обеспечения цифрового суверенитета в условиях глобальной трансформации» (под ред. д.ю.н., проф. А.В. Соколова; М.: Норма, 2026. – 512 с.)</w:t>
      </w:r>
    </w:p>
    <w:p w:rsidR="00D760AC" w:rsidRDefault="00D760AC" w:rsidP="00D760AC">
      <w:pPr>
        <w:pStyle w:val="a3"/>
      </w:pPr>
      <w:r>
        <w:t>Представленная коллективная монография, подготовленная ведущими специалистами в области информационного, конституционного и международного права, посвящена одной из наиболее острых проблем современной юридической науки – формированию теоретических и практических основ обеспечения цифрового суверенитета. Актуальность темы не вызывает сомнений: стремительное развитие трансграничных цифровых платформ, облачных вычислений и систем искусственного интеллекта ставит перед государствами принципиально новые задачи по защите национальных интересов, которые не решаются традиционными инструментами государственного регулирования. Работа представляет собой не просто сборник разрозненных статей, а целостное исследование, в котором авторы последовательно выстраивают концептуальную модель цифрового суверенитета, опираясь на междисциплинарный подход и сравнительно-правовой анализ.</w:t>
      </w:r>
    </w:p>
    <w:p w:rsidR="00D760AC" w:rsidRDefault="00D760AC" w:rsidP="00D760AC">
      <w:pPr>
        <w:pStyle w:val="a3"/>
      </w:pPr>
      <w:r>
        <w:t>Структура монографии подчинена логике движения от общего к частному. Первый раздел, состоящий из четырёх глав, посвящён категориальному аппарату и теоретико-правовым основаниям исследуемого феномена. Во втором разделе, включающем пять глав, рассматриваются отраслевые механизмы реализации цифрового суверенитета. Третий раздел, состоящий из трёх глав, посвящён международно-правовым аспектам и сравнительному анализу зарубежных подходов. Такое построение обеспечивает комплексность охвата темы и позволяет читателю последовательно проследить путь от абстрактных доктринальных конструкций к конкретным нормативным предложениям.</w:t>
      </w:r>
    </w:p>
    <w:p w:rsidR="00D760AC" w:rsidRDefault="00D760AC" w:rsidP="00D760AC">
      <w:pPr>
        <w:pStyle w:val="a3"/>
      </w:pPr>
      <w:r>
        <w:t>Первый раздел открывается главой, в которой авторы анализируют понятие цифрового суверенитета, разграничивая его со смежными категориями – информационной безопасностью, технологической независимостью и цифровой автономией. Убедительно обосновано положение о том, что цифровой суверенитет не сводится к контролю над физической инфраструктурой, а включает в себя также способность государства эффективно регулировать поведение субъектов в информационном пространстве и защищать права своих граждан от внешнего воздействия. Особое внимание уделено соотношению цифрового суверенитета с принципами свободного потока информации и открытого интернета, при этом авторы предлагают рассматривать суверенитет не как изоляционизм, а как основу для равноправного участия государства в глобальных цифровых процессах.</w:t>
      </w:r>
    </w:p>
    <w:p w:rsidR="00D760AC" w:rsidRDefault="00D760AC" w:rsidP="00D760AC">
      <w:pPr>
        <w:pStyle w:val="a3"/>
      </w:pPr>
      <w:r>
        <w:t>Заслуживает поддержки методологическая установка авторов, которые используют не только формально-догматический метод, но и активно обращаются к экономическому анализу права. Это позволяет показать, что цифровой суверенитет имеет не только юридическое, но и экономическое измерение: контроль над данными и алгоритмами становится фактором конкурентоспособности национальных экономик. Данный подход обогащает юридическую дискуссию, однако требует более чёткого разграничения правовых и экономических инструментов, что в отдельных главах прослеживается не в полной мере.</w:t>
      </w:r>
    </w:p>
    <w:p w:rsidR="00D760AC" w:rsidRDefault="00D760AC" w:rsidP="00D760AC">
      <w:pPr>
        <w:pStyle w:val="a3"/>
      </w:pPr>
      <w:r>
        <w:t xml:space="preserve">Второй раздел монографии посвящён отраслевому преломлению концепции цифрового суверенитета. Наиболее интересными представляются главы, посвящённые регулированию деятельности трансграничных платформ и вопросам локализации данных. Авторы не ограничиваются пересказом существующих нормативных актов, а выявляют системные противоречия. Так, подробно проанализирована проблема территориальной юрисдикции в отношении операторов, которые физически не находятся на территории </w:t>
      </w:r>
      <w:r>
        <w:lastRenderedPageBreak/>
        <w:t>государства, но оказывают существенное влияние на её информационное пространство. Предлагается двухуровневая модель: первый уровень предполагает установление обязательств для платформ, действующих на рынке, второй – распространение требований на головные компании через механизмы взаимной ответственности и финансовых гарантий. Это решение выглядит прагматичным, хотя требует дополнительной проработки в части порядка определения «существенного влияния».</w:t>
      </w:r>
    </w:p>
    <w:p w:rsidR="00D760AC" w:rsidRDefault="00D760AC" w:rsidP="00D760AC">
      <w:pPr>
        <w:pStyle w:val="a3"/>
      </w:pPr>
      <w:r>
        <w:t>В главе, посвящённой правовому статусу государственных информационных систем, авторы обоснованно указывают на необходимость выделения критической информационной инфраструктуры в качестве особого объекта правовой охраны. Детально разбираются случаи, когда использование иностранных компонентов в такой инфраструктуре создаёт риски не только для безопасности, но и для правовой определённости при разрешении споров. При этом авторы избегают радикальных предложений о полном импортозамещении, что свидетельствует о реалистичном подходе к сложившимся технологическим зависимостям. Напротив, предлагается ввести институт «допущенного поставщика», предусматривающий не только техническую сертификацию, но и правовые гарантии в виде обязательного соблюдения национальных стандартов защиты данных.</w:t>
      </w:r>
    </w:p>
    <w:p w:rsidR="00D760AC" w:rsidRDefault="00D760AC" w:rsidP="00D760AC">
      <w:pPr>
        <w:pStyle w:val="a3"/>
      </w:pPr>
      <w:r>
        <w:t>Третий раздел, посвящённый международно-правовому измерению, является одним из самых сильных в работе. Авторы анализируют проекты международных соглашений в области цифровой торговли, а также решения международных судебных органов, показывая, что классические принципы невмешательства и суверенного равенства государств нуждаются в адаптации к цифровым реалиям. Примечательно, что авторы не предлагают создать новую международную организацию, а выступают за развитие мягкого права – модельных законов и рекомендаций, которые могли бы стать основой для последующей унификации национальных законодательств. Этот подход согласуется с текущей практикой и в то же время позволяет сохранить гибкость, необходимую для быстрого реагирования на технологические изменения.</w:t>
      </w:r>
    </w:p>
    <w:p w:rsidR="00D760AC" w:rsidRDefault="00D760AC" w:rsidP="00D760AC">
      <w:pPr>
        <w:pStyle w:val="a3"/>
      </w:pPr>
      <w:r>
        <w:t>Сравнительно-правовой анализ, представленный в монографии, отличается глубиной и объективностью. Авторы рассматривают подходы США, Европейского Союза, Китая и ряда развивающихся стран, выделяя как общие закономерности, так и принципиальные различия. В частности, показано, что европейская модель строится на приоритете защиты персональных данных и прав личности, тогда как китайская – на приоритете государственной безопасности и социальной стабильности. Авторы не занимают односторонней позиции, а аргументированно показывают, что обе модели имеют ограничения, и предлагают синтетический подход, в котором сочетаются элементы защиты прав человека и обеспечения национальных интересов.</w:t>
      </w:r>
    </w:p>
    <w:p w:rsidR="00D760AC" w:rsidRDefault="00D760AC" w:rsidP="00D760AC">
      <w:pPr>
        <w:pStyle w:val="a3"/>
      </w:pPr>
      <w:r>
        <w:t>Заключительная глава содержит конкретные предложения по совершенствованию российского законодательства. Авторы предлагают проект федерального закона «О цифровом суверенитете», в котором формулируются понятия, принципы и механизмы реализации. Отдельно рассматриваются вопросы создания специального органа, который бы координировал деятельность различных ведомств в этой сфере. Хотя такие предложения носят дискуссионный характер, их проработка свидетельствует о практической значимости монографии и её востребованности в нормотворческой деятельности.</w:t>
      </w:r>
    </w:p>
    <w:p w:rsidR="00D760AC" w:rsidRDefault="00D760AC" w:rsidP="00D760AC">
      <w:pPr>
        <w:pStyle w:val="a3"/>
      </w:pPr>
      <w:r>
        <w:t xml:space="preserve">К числу достоинств работы следует отнести высокую степень междисциплинарности, последовательность изложения и актуальность эмпирического материала. Авторы опираются на новейшие законодательные акты и судебную практику, включая решения по </w:t>
      </w:r>
      <w:r>
        <w:lastRenderedPageBreak/>
        <w:t>делам, связанным с функционированием социальных сетей и мессенджеров. Отдельно стоит отметить качество редакторской работы: несмотря на то, что главы написаны разными авторами, стиль изложения остаётся единым, что облегчает восприятие сложного материала. Монография снабжена подробным библиографическим списком и приложениями, включающими таблицы сравнительного анализа зарубежных законодательств, что делает её удобной для использования в научных исследованиях.</w:t>
      </w:r>
    </w:p>
    <w:p w:rsidR="00D760AC" w:rsidRDefault="00D760AC" w:rsidP="00D760AC">
      <w:pPr>
        <w:pStyle w:val="a3"/>
      </w:pPr>
      <w:r>
        <w:t>Вместе с тем работа не лишена недостатков. Во-первых, концепция цифрового суверенитета в некоторых главах раскрывается преимущественно через призму защиты данных и инфраструктуры, в то время как вопросы цифровой грамотности и доступа к информации остаются недостаточно освещёнными. Во-вторых, при анализе международно-правовых механизмов авторы не уделяют достаточного внимания вопросам разрешения споров между государствами, что оставляет ряд важных аспектов без ответа. В-третьих, ряд предложений по созданию новых органов власти выглядит избыточным, и авторы не всегда обосновывают их необходимость с точки зрения эффективности уже существующих институтов.</w:t>
      </w:r>
    </w:p>
    <w:p w:rsidR="00D760AC" w:rsidRDefault="00D760AC" w:rsidP="00D760AC">
      <w:pPr>
        <w:pStyle w:val="a3"/>
      </w:pPr>
      <w:r>
        <w:t>Однако указанные замечания носят характер дискуссии и не умаляют научной ценности монографии. Работа представляет собой значимое исследование, которое вносит весомый вклад в развитие теории информационного права и может быть рекомендовано для использования в научной и образовательной деятельности, а также в качестве основы для совершенствования законодательства. Монография будет полезна преподавателям, аспирантам, студентам юридических факультетов и практикующим юристам, работающим в сфере правового регулирования цифровых технологий.</w:t>
      </w:r>
    </w:p>
    <w:p w:rsidR="004B041C" w:rsidRDefault="004B041C">
      <w:bookmarkStart w:id="0" w:name="_GoBack"/>
      <w:bookmarkEnd w:id="0"/>
    </w:p>
    <w:sectPr w:rsidR="004B0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203"/>
    <w:rsid w:val="004B041C"/>
    <w:rsid w:val="00A26203"/>
    <w:rsid w:val="00D7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60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3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1295</Words>
  <Characters>7386</Characters>
  <Application>Microsoft Office Word</Application>
  <DocSecurity>0</DocSecurity>
  <Lines>61</Lines>
  <Paragraphs>17</Paragraphs>
  <ScaleCrop>false</ScaleCrop>
  <Company>diakov.net</Company>
  <LinksUpToDate>false</LinksUpToDate>
  <CharactersWithSpaces>8664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dcterms:created xsi:type="dcterms:W3CDTF">2026-09-22T08:26:00Z</dcterms:created>
  <dcterms:modified xsi:type="dcterms:W3CDTF">2026-09-22T08:26:00Z</dcterms:modified>
</cp:coreProperties>
</file>