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4A24" w:rsidRDefault="005E4A24" w:rsidP="005E4A24">
      <w:pPr>
        <w:pStyle w:val="a3"/>
      </w:pPr>
      <w:r>
        <w:t>Рецензия на монографию Иванова И.И. «Теоретические основы правового регулирования цифровых отношений» (М.: Юрлитинформ, 2026. – 456 с.)</w:t>
      </w:r>
    </w:p>
    <w:p w:rsidR="005E4A24" w:rsidRDefault="005E4A24" w:rsidP="005E4A24">
      <w:pPr>
        <w:pStyle w:val="a3"/>
      </w:pPr>
      <w:r>
        <w:t>Монография Иванова И.И. представляет собой фундаментальное исследование, посвящённое одной из наиболее актуальных проблем современной юриспруденции – формированию теоретической базы правового регулирования отношений, возникающих в цифровой среде. Работа претендует на системное осмысление процессов, которые ранее рассматривались преимущественно в прикладном или отраслевом ключе, и автору в значительной степени удаётся выполнить эту задачу. Книга состоит из трёх разделов, включающих девять глав, а также введения и заключения, что обеспечивает логичную структуру от общих категорий к конкретным механизмам.</w:t>
      </w:r>
    </w:p>
    <w:p w:rsidR="005E4A24" w:rsidRDefault="005E4A24" w:rsidP="005E4A24">
      <w:pPr>
        <w:pStyle w:val="a3"/>
      </w:pPr>
      <w:r>
        <w:t>Первый раздел «Понятийный аппарат и методология исследования цифровых отношений» закладывает теоретический фундамент. Автор подробно анализирует категорию «цифровые отношения», разграничивая её со смежными понятиями – «информационные отношения», «виртуальные отношения», «отношения в сети Интернет». Следует признать удачным предложенное автором определение, которое выделяет в качестве сущностного признака цифровых отношений использование программно-аппаратных средств для генерации, обработки и передачи данных, а также наличие алгоритмической составляющей, влияющей на динамику и содержание правовой связи. Примечательно, что Иванов И.И. не ограничивается формально-догматическим методом, а активно привлекает методы междисциплинарного анализа, включая достижения кибернетики и теории информации, что позволяет избежать узости чисто юридического подхода.</w:t>
      </w:r>
    </w:p>
    <w:p w:rsidR="005E4A24" w:rsidRDefault="005E4A24" w:rsidP="005E4A24">
      <w:pPr>
        <w:pStyle w:val="a3"/>
      </w:pPr>
      <w:r>
        <w:t>Особое внимание в данном разделе уделено методологии. Автор обоснованно критикует существующий подход, при котором правовое регулирование цифровых отношений строится на экстраполяции традиционных институтов без учёта их сущностной трансформации. Вместо этого предлагается использовать концепцию «гибридного правового режима», который сочетает элементы частноправового и публично-правового воздействия с учётом технологической специфики. Данная позиция представляется продуктивной, хотя и не лишённой дискуссионных аспектов, поскольку вопрос о критериях распределения частного и публичного начал в цифровой среде остаётся открытым. Тем не менее, автор чётко аргументирует свою точку зрения, опираясь на примеры из сферы больших данных и автоматизированных систем принятия решений.</w:t>
      </w:r>
    </w:p>
    <w:p w:rsidR="005E4A24" w:rsidRDefault="005E4A24" w:rsidP="005E4A24">
      <w:pPr>
        <w:pStyle w:val="a3"/>
      </w:pPr>
      <w:r>
        <w:t>Второй раздел «Субъектный состав и правовой статус участников цифровых отношений» посвящён проблеме идентификации и правосубъектности. Здесь наиболее значимым является анализ категории «цифровое лицо». Иванов И.И. детально рассматривает возможность наделения искусственного интеллекта статусом квазисубъекта права, предлагая различать полную, ограниченную и техническую правосубъектность. Автор убедительно показывает, что приравнивание алгоритмов к людям или организациям методологически некорректно, однако игнорирование их автономной активности в сфере заключения сделок и принятия решений также недопустимо. Предложенная концепция «функциональной правосубъектности» основывается на объёме совершаемых действий и степени контроля со стороны человека, что в практическом плане может быть реализовано через систему обязательного страхования рисков, связанных с функционированием автономных систем.</w:t>
      </w:r>
    </w:p>
    <w:p w:rsidR="005E4A24" w:rsidRDefault="005E4A24" w:rsidP="005E4A24">
      <w:pPr>
        <w:pStyle w:val="a3"/>
      </w:pPr>
      <w:r>
        <w:t xml:space="preserve">При этом в данной главе рассматривается и традиционный субъект – физическое лицо, чей правовой статус в цифровой среде претерпевает существенные изменения. Автор подчёркивает, что цифровая идентификация не просто технический инструмент, а фактор, влияющий на объём и содержание дееспособности. В частности, разбираются случаи, </w:t>
      </w:r>
      <w:r>
        <w:lastRenderedPageBreak/>
        <w:t>когда аутентификация через биометрические данные или поведенческие алгоритмы может привести к ограничению или расширению правоспособности, что требует законодательного закрепления. Приводится сравнительный анализ подходов ЕС и США, где последние ориентированы на технологическую нейтральность, что, по мнению автора, не всегда обеспечивает защиту прав личности.</w:t>
      </w:r>
    </w:p>
    <w:p w:rsidR="005E4A24" w:rsidRDefault="005E4A24" w:rsidP="005E4A24">
      <w:pPr>
        <w:pStyle w:val="a3"/>
      </w:pPr>
      <w:r>
        <w:t>Третий раздел «Механизмы правового регулирования и ответственность в цифровой среде» является наиболее практико-ориентированным. Здесь автор исследует проблемы нормативной определённости при регулировании смарт-контрактов, токенизации активов и использования децентрализованных реестров. Иванов И.И. справедливо указывает, что классические модели договорного права, основанные на личном волеизъявлении, не могут быть механически перенесены на исполнение обязательств без участия человека. Предлагается выделять в смарт-контракте два слоя: юридическую оболочку, подлежащую толкованию, и техническую часть, обеспечивающую автоматическое исполнение. При этом автор настаивает на том, что приоритет должен принадлежать юридической интерпретации, даже если техническое исполнение уже произошло, что создаёт механизм защиты от ошибок в коде.</w:t>
      </w:r>
    </w:p>
    <w:p w:rsidR="005E4A24" w:rsidRDefault="005E4A24" w:rsidP="005E4A24">
      <w:pPr>
        <w:pStyle w:val="a3"/>
      </w:pPr>
      <w:r>
        <w:t>Значительный интерес представляет анализ вопросов ответственности за вред, причинённый автономными системами. Автор отвергает как чрезмерно широкое применение принципа вины, так и тотальное введение объективной ответственности. Вместо этого он предлагает трёхуровневую модель: ответственность оператора, ответственность разработчика и ответственность владельца, причём распределение должно зависеть от возможности контроля и предвидения. Данная модель подкрепляется ссылками на судебную практику ряда стран, хотя автор признаёт, что универсального решения пока не найдено. В заключительной главе автор обращается к перспективам кодификации цифрового права, выступая за создание отдельного федерального закона «Об основах правового регулирования цифровых отношений», проект которого прилагается в приложении к монографии. Безусловно, такое предложение носит дискуссионный характер, однако его детальная проработка свидетельствует о практической значимости работы.</w:t>
      </w:r>
    </w:p>
    <w:p w:rsidR="005E4A24" w:rsidRDefault="005E4A24" w:rsidP="005E4A24">
      <w:pPr>
        <w:pStyle w:val="a3"/>
      </w:pPr>
      <w:r>
        <w:t>К несомненным достоинствам монографии следует отнести высокую степень систематизации материала, чёткую методологическую позицию и широкий охват межотраслевых вопросов. Автор демонстрирует глубокое знание не только гражданского и административного права, но и конституционных аспектов, связанных с защитой прав человека в цифровую эпоху. Стиль изложения отличается ясностью и логичностью, что делает книгу доступной для студентов и практикующих юристов. Вместе с тем работа не лишена недостатков. Во-первых, предложенная концепция «гибридного правового режима» нуждается в более конкретной операционализации: автор часто ограничивается общими формулировками, не доводя анализ до конкретных нормативных предписаний. Во-вторых, ряд положений о правосубъектности искусственного интеллекта опирается на зарубежные доктрины, которые в отечественной правовой системе могут не получить адекватного отражения, что требует дополнительного комментария. В-третьих, монография практически не затрагивает вопросы налогового и процессуального характера, которые неизбежно возникают при реализации предлагаемых моделей.</w:t>
      </w:r>
    </w:p>
    <w:p w:rsidR="005E4A24" w:rsidRDefault="005E4A24" w:rsidP="005E4A24">
      <w:pPr>
        <w:pStyle w:val="a3"/>
      </w:pPr>
      <w:r>
        <w:t xml:space="preserve">Указанные замечания не снижают общего высокого уровня работы. Монография Иванова И.И. является значительным вкладом в теорию информационного права и может быть рекомендована для использования в научной работе, учебном процессе, а также в качестве основы для нормотворческой деятельности. Книга вносит ясность в дискуссию о том, как право должно реагировать на технологические изменения, и предлагает не только </w:t>
      </w:r>
      <w:r>
        <w:lastRenderedPageBreak/>
        <w:t>абстрактные схемы, но и конкретные пути их реализации. Автор убедительно показывает, что цифровая трансформация требует не косметического обновления правовых норм, а пересмотра базовых концепций, что делает данную монографию полезной для всех, кто интересуется перспективами правового регулирования в условиях технологической революции.</w:t>
      </w:r>
    </w:p>
    <w:p w:rsidR="009E7283" w:rsidRDefault="009E7283">
      <w:bookmarkStart w:id="0" w:name="_GoBack"/>
      <w:bookmarkEnd w:id="0"/>
    </w:p>
    <w:sectPr w:rsidR="009E728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065A"/>
    <w:rsid w:val="005E4A24"/>
    <w:rsid w:val="009E7283"/>
    <w:rsid w:val="00B006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E4A2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E4A2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8509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1137</Words>
  <Characters>6487</Characters>
  <Application>Microsoft Office Word</Application>
  <DocSecurity>0</DocSecurity>
  <Lines>54</Lines>
  <Paragraphs>15</Paragraphs>
  <ScaleCrop>false</ScaleCrop>
  <Company>diakov.net</Company>
  <LinksUpToDate>false</LinksUpToDate>
  <CharactersWithSpaces>7609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RePack by Diakov</cp:lastModifiedBy>
  <cp:revision>3</cp:revision>
  <dcterms:created xsi:type="dcterms:W3CDTF">2026-09-22T08:24:00Z</dcterms:created>
  <dcterms:modified xsi:type="dcterms:W3CDTF">2026-09-22T08:24:00Z</dcterms:modified>
</cp:coreProperties>
</file>