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B3" w:rsidRPr="00CD0FB3" w:rsidRDefault="00CD0FB3" w:rsidP="00CD0FB3">
      <w:pPr>
        <w:shd w:val="clear" w:color="auto" w:fill="FFFFFF" w:themeFill="background1"/>
        <w:spacing w:after="0"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CD0F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Курсовая работа: Экономическая часть расч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ё</w:t>
      </w:r>
      <w:r w:rsidRPr="00CD0F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та материальных затрат предприятия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Введение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Экономика железнодорожного транспорта, как и экономика транспорта в целом, 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наука историческая. С течением времени менялся объект е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ё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изучения 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транспорт развивался вместе со всеми производственными силами страны, частью которых он является. Менялся и предмет изучения 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производственные отношения, поскольку они развивались в соответствии с производственными силами. Не стояла на месте, как и другие науки, и экономика железнодорожного транспорта. Она прошла путь от этапа описательного, через этап качественного анализа до современного е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ё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состояния, когда экономика железнодорожного транспорта широко использует математику, ЭВМ и имеет, по сути, конструктивный характер.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Содержание экономики железнодорожного транспорта как науки 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это совокупность знаний об объекте, предмете исследования, его результатах, а также современные задачи науки в осуществлении стратегии, направленной на ускорение социально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экономического развития России.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Результаты исследования экономики железнодорожного транспорта выступают в виде обобщений, закономерностей, концепций, теорий, их практических приложений с целью интенсификации транспортного производства на базе научно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технического прогресса, активизаци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человеческого фактора и коренной перестройки управления отраслью. Следовательно, практически созидательная функция экономики железнодорожного транспорта как основной части экономики транспорта заключается в том, чтобы результаты е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ё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исследования выступали как научная основа формирования транспортной хозяйственной политики.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настоящее время ряд вопросов формирования внутриотраслевых оптимальных пропорций и связанных с ними темпов развития в научном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отношении разработаны недостаточно. Например, вопрос об оптимальном распределении капитальных вложений в развити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постоянных устройств и приобретени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подвижного состава; вопрос о пропорциональности между объ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ё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мом эксплуатационной работы и мощностью ремонтной базы.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Важнейшей задачей экономики железнодорожного транспорта является формирование теории качества для транспортной сферы, включая транспортную обеспеченность вновь осваиваемых территорий, качество обслуживания транспортом народного хозяйства и населения страны, измерение качества продукции и работы железнодорожного транспорта, изыскание и использование экономических резервов повышения качества, разработка методов экономической оценки и стимулирования повышения качества транспортного производства.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Задание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 По графику ППР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используя технолого-нормировочные карты на отдельные виды обслуживания оборудования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составить ведомость подсч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ё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 суммарных трудовых затрат на выполнение годового объ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ё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 работ по текущему содержанию и текущему ремонту оборудования.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 По ведомости произвести подсч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ё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 суммарных трудовых затрат на выполнение годового объ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ё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 работ по текущему содержанию и текущему ремонту оборудования.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2.2 Подсчитать трудовые затраты на непосредственное выполнение работы.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2.3 Подсчитать суммарные трудовые затраты.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 Определить календарный, номинальный и эффективный фонд рабочего времени одного среднесписочного работника эксплуатационного штата.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 Определить норматив численности работников.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 Определить по разрядам квалификации, кол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ичест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 эл. монт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ё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ров, необходимое для текущего содержания и текущего ремонта оборудования.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6. Определить численност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дежурного персонала.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7. Определить плановые годовые эксплуатационные расходы на содержание.</w:t>
      </w:r>
    </w:p>
    <w:p w:rsidR="00A060C6" w:rsidRPr="00A060C6" w:rsidRDefault="00CD0FB3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7.1 Расходы на ЗП </w:t>
      </w:r>
      <w:r w:rsidR="00A060C6"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оплату единого социального налога.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7.2 Расходы на материалы.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7.3 Расходы по охране труда и ТБ.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7.4 Прочие расходы.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Исходные данные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 Однолинейная схема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 График ППР за 2009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Среднее количество дней отсутствия по болезни на одного человека </w:t>
      </w: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б</w:t>
      </w:r>
      <w:proofErr w:type="spell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 7 дней.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 Среднее количество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затраченных на выполнение гос. обязанностей на одного человека </w:t>
      </w: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г</w:t>
      </w:r>
      <w:proofErr w:type="spell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 4 дня.</w:t>
      </w:r>
    </w:p>
    <w:p w:rsidR="00A060C6" w:rsidRPr="00A060C6" w:rsidRDefault="00CD0FB3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 Среднее</w:t>
      </w:r>
      <w:r w:rsidR="00A060C6"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количество дней отсутствия на работе по прочим причинам на одного человека </w:t>
      </w:r>
      <w:proofErr w:type="spellStart"/>
      <w:r w:rsidR="00A060C6"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="00A060C6" w:rsidRPr="00A060C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п</w:t>
      </w:r>
      <w:proofErr w:type="spellEnd"/>
      <w:r w:rsidR="00A060C6" w:rsidRPr="00A0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060C6"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060C6"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 дня.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6. Приказ на нормы выдачи спецодежды 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прилагается.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7. Расход затрат на электроэнергию собственных нужд 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прилагается.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Порядок выполнения работы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1. Составляем ведомость суммарных годовых затрат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Эксплуатационное обслуживание оборудования и устройств включает в себя следующие основные виды работ: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 текущее содержание;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 текущий и капремонт.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текущее содержание входит повседневное наблюдение за состоянием оборудования и устройств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пут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ё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 проведения периодических осмотров и замеров.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Текущий ремонт производится для устранения отклонений от установленных норм содержания или от нормального состояния отдельных деталей, частей и конструкций. Такой ремонт производится в заранее определ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ё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нные сроки, а также по мере надобности при обнаружении во время осмотров повреждений или отклонений от нормального состояния. Объ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ё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 и сроки проведения работ по текущему ремонту оборудования устанавливаются Правилами содержания этих устройств ЦЭ-402.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Работа осуществляется на основании годовых планов работ. В плане указывается наименование работ и их количество на год с распределением по месяцам. Годовой план составляется на основе нормативов, привед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ё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нных в Правилах содержания, утверждается начальником. Начальник в соответствии с годовым планом составляет план работы на месяц. По мере выполнения работ в течение года в графике отмечается объ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ё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 работ и время их фактического производства.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Результаты осмотров заносят в книгу осмотров и неисправностей, где в дальнейшем отмечаются сроки устранения неисправностей и выполнение намеченных мероприятий.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 определении сроков выполнения работ учитываем, какие работы можно проводить в т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ё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плый период года, сроки между ремонтам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должны быть примерно одинаковыми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Данные расч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ё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тов заносим в таблицу ППР.</w:t>
      </w:r>
    </w:p>
    <w:p w:rsid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2. Подсч</w:t>
      </w:r>
      <w:r w:rsidR="00CD0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ё</w:t>
      </w:r>
      <w:r w:rsidRPr="00A0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 суммарных трудовых затрат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2.1 Определяем трудовые затраты на выполнение работ по текущему содержанию и ремонту оборудования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Типовые нормы времени, по сборнику на единицу работы определяем по ведомости трудовых затрат на выполнение объ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ё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 работ по текущему содержанию и текущему ремонту ко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нтактной сети и заносим в графу —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Количество единиц определяем согласно заданного графика ППР. Годовой объ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ё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 работы определяем умножением количества единиц на периодичность. Трудо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вые затраты на выполнение работ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умножением годового объ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ё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ма работ на норму времени и заносим в графу 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конце ППР определяем трудовые затраты по каждому разряду и по каждому месяцу работы. Загрузка работников по месяцам должна быть примерно равна.</w:t>
      </w:r>
    </w:p>
    <w:p w:rsid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3.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Определяем календарный, номинальный и эффективный фонд рабочего времени одного среднесписочного работника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3.1 Для определения плановой численности рабочих необходимо знать бюджет рабочего времени одного среднесписочного работника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Календарный фонд рабочего времени рассчитывается по формуле: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Фк</w:t>
      </w:r>
      <w:proofErr w:type="spellEnd"/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=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р*</w:t>
      </w: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Тср</w:t>
      </w:r>
      <w:proofErr w:type="spell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час.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где</w:t>
      </w:r>
      <w:r w:rsidRPr="00A0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A0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Фк</w:t>
      </w:r>
      <w:proofErr w:type="spell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календарный фонд рабочего времени в расч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ё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 на одного среднесписочного работника, час;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 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кол-во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рабочих дней в учётном периоде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Тср</w:t>
      </w:r>
      <w:proofErr w:type="spellEnd"/>
      <w:r w:rsidRPr="00A0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средняя номинальная продолжительность рабочего дня, час.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Средняя номинальная продолжительность дня рабочего времени определяется по формуле: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Тср</w:t>
      </w:r>
      <w:proofErr w:type="spellEnd"/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 8*(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 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п)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+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7*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пп</w:t>
      </w:r>
      <w:proofErr w:type="spell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где: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п,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пп</w:t>
      </w:r>
      <w:proofErr w:type="spell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кол-во дней соответственно праздничных и предпраздничных с сокращ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ё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нной продолжительностью дня;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Тср</w:t>
      </w:r>
      <w:proofErr w:type="spellEnd"/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 8*(252-7)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+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7*7/252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7,9 час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Фк</w:t>
      </w:r>
      <w:proofErr w:type="spellEnd"/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252*7,9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1990,8 час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Номинальный фонд рабочего времени 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это установленная продолжительность работы одного среднесписочного работ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ника в течении учётного периода, она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рассчитывается по формуле: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Фн</w:t>
      </w:r>
      <w:proofErr w:type="spell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=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ср.отп</w:t>
      </w:r>
      <w:proofErr w:type="spell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)*</w:t>
      </w:r>
      <w:proofErr w:type="spellStart"/>
      <w:proofErr w:type="gram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Тср</w:t>
      </w:r>
      <w:proofErr w:type="spellEnd"/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Фн</w:t>
      </w:r>
      <w:proofErr w:type="spell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=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(252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40)*</w:t>
      </w:r>
      <w:proofErr w:type="gram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7,9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 w:rsidR="00CD0F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1674,8 час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Фактическое число рабочих дней и часов в году уменьшится в связи с предоставлением очередных и дополнительных отпусков, отсутствием на работе по причине болезни, выполнение Государственных обязанностей и т.д.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Эффективный фонд рабочего времени представляет собой время непосредственного выполнения работником его обязанностей и определяется: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Фэф</w:t>
      </w:r>
      <w:proofErr w:type="spellEnd"/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= </w:t>
      </w: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Фном</w:t>
      </w:r>
      <w:proofErr w:type="spellEnd"/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ср.б</w:t>
      </w:r>
      <w:proofErr w:type="spell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+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 +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proofErr w:type="gram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п)*</w:t>
      </w:r>
      <w:proofErr w:type="gram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Тср</w:t>
      </w:r>
      <w:proofErr w:type="spell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час.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где: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proofErr w:type="gram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б,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proofErr w:type="gram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г,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A0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-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кол-во дней отсутствия по болезни, при исполнении государственных обязанностей и прочие затраты.</w:t>
      </w:r>
    </w:p>
    <w:p w:rsid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Рэф</w:t>
      </w:r>
      <w:proofErr w:type="spellEnd"/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 1674,8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(7+4+</w:t>
      </w:r>
      <w:proofErr w:type="gram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3)*</w:t>
      </w:r>
      <w:proofErr w:type="gram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7,9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 1564,2 часа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4. Норматив численности эл. монт</w:t>
      </w:r>
      <w:r w:rsidR="0084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ё</w:t>
      </w:r>
      <w:r w:rsidRPr="00A0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ров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Определяем коэффициент перевода явочного контингента в списочный. И плановую численность эл. монт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ё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ров по разрядам квалификации через нормативную трудо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ё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мкость.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Коэффициент перевода представляет собой отношение годового календарного фонда рабочего времени к эффективному фонду рабочего времени.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</w:rPr>
        <w:t>K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Фк</w:t>
      </w:r>
      <w:proofErr w:type="spell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Фэф</w:t>
      </w:r>
      <w:proofErr w:type="spell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</w:rPr>
        <w:t>K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1990</w:t>
      </w:r>
      <w:proofErr w:type="gram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,8</w:t>
      </w:r>
      <w:proofErr w:type="gram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/1564,2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1,3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Трудовые затраты на выполнение годового объ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ё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 работ по ЭЧЭ составили согласно графика ППР по ЭЧЭ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—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54 ст. </w:t>
      </w: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Мысов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ая</w:t>
      </w:r>
      <w:proofErr w:type="spell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2009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г: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Определяем общую численность работников ЭЧЭ:</w:t>
      </w:r>
    </w:p>
    <w:p w:rsidR="00A060C6" w:rsidRPr="00843743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743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п/</w:t>
      </w:r>
      <w:proofErr w:type="spellStart"/>
      <w:r w:rsidRP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proofErr w:type="spellEnd"/>
      <w:r w:rsidRPr="008437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= </w:t>
      </w:r>
      <w:r w:rsidRPr="00843743">
        <w:rPr>
          <w:rFonts w:ascii="Times New Roman" w:eastAsia="Times New Roman" w:hAnsi="Times New Roman" w:cs="Times New Roman"/>
          <w:color w:val="000000"/>
          <w:sz w:val="28"/>
          <w:szCs w:val="28"/>
        </w:rPr>
        <w:t>Q</w:t>
      </w:r>
      <w:r w:rsidRP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чел</w:t>
      </w:r>
      <w:r w:rsidRPr="008437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proofErr w:type="spellStart"/>
      <w:r w:rsidRP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Рэф</w:t>
      </w:r>
      <w:proofErr w:type="spellEnd"/>
      <w:r w:rsidRP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843743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proofErr w:type="spellStart"/>
      <w:r w:rsidRPr="00843743">
        <w:rPr>
          <w:rFonts w:ascii="Times New Roman" w:eastAsia="Times New Roman" w:hAnsi="Times New Roman" w:cs="Times New Roman"/>
          <w:color w:val="000000"/>
          <w:sz w:val="28"/>
          <w:szCs w:val="28"/>
        </w:rPr>
        <w:t>чел</w:t>
      </w:r>
      <w:proofErr w:type="spellEnd"/>
      <w:r w:rsidRPr="00843743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A060C6" w:rsidRPr="00843743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743">
        <w:rPr>
          <w:rFonts w:ascii="Times New Roman" w:eastAsia="Times New Roman" w:hAnsi="Times New Roman" w:cs="Times New Roman"/>
          <w:color w:val="000000"/>
          <w:sz w:val="28"/>
          <w:szCs w:val="28"/>
        </w:rPr>
        <w:t>N5 = Q5 /</w:t>
      </w:r>
      <w:proofErr w:type="spellStart"/>
      <w:proofErr w:type="gramStart"/>
      <w:r w:rsidRPr="00843743">
        <w:rPr>
          <w:rFonts w:ascii="Times New Roman" w:eastAsia="Times New Roman" w:hAnsi="Times New Roman" w:cs="Times New Roman"/>
          <w:color w:val="000000"/>
          <w:sz w:val="28"/>
          <w:szCs w:val="28"/>
        </w:rPr>
        <w:t>Рэф</w:t>
      </w:r>
      <w:proofErr w:type="spellEnd"/>
      <w:r w:rsidRPr="00843743">
        <w:rPr>
          <w:rFonts w:ascii="Times New Roman" w:eastAsia="Times New Roman" w:hAnsi="Times New Roman" w:cs="Times New Roman"/>
          <w:color w:val="000000"/>
          <w:sz w:val="28"/>
          <w:szCs w:val="28"/>
        </w:rPr>
        <w:t> ;</w:t>
      </w:r>
      <w:proofErr w:type="gramEnd"/>
      <w:r w:rsidRPr="0084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N5 =</w:t>
      </w:r>
      <w:r w:rsidR="00843743" w:rsidRPr="0084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3743">
        <w:rPr>
          <w:rFonts w:ascii="Times New Roman" w:eastAsia="Times New Roman" w:hAnsi="Times New Roman" w:cs="Times New Roman"/>
          <w:color w:val="000000"/>
          <w:sz w:val="28"/>
          <w:szCs w:val="28"/>
        </w:rPr>
        <w:t>337/1564</w:t>
      </w:r>
      <w:r w:rsidR="00843743" w:rsidRPr="0084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 1 </w:t>
      </w:r>
      <w:proofErr w:type="spellStart"/>
      <w:r w:rsidRPr="00843743">
        <w:rPr>
          <w:rFonts w:ascii="Times New Roman" w:eastAsia="Times New Roman" w:hAnsi="Times New Roman" w:cs="Times New Roman"/>
          <w:color w:val="000000"/>
          <w:sz w:val="28"/>
          <w:szCs w:val="28"/>
        </w:rPr>
        <w:t>чел</w:t>
      </w:r>
      <w:proofErr w:type="spellEnd"/>
      <w:r w:rsidRPr="008437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60C6" w:rsidRPr="00843743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743">
        <w:rPr>
          <w:rFonts w:ascii="Times New Roman" w:eastAsia="Times New Roman" w:hAnsi="Times New Roman" w:cs="Times New Roman"/>
          <w:color w:val="000000"/>
          <w:sz w:val="28"/>
          <w:szCs w:val="28"/>
        </w:rPr>
        <w:t>N4 = Q4 /</w:t>
      </w:r>
      <w:proofErr w:type="spellStart"/>
      <w:proofErr w:type="gramStart"/>
      <w:r w:rsidRPr="00843743">
        <w:rPr>
          <w:rFonts w:ascii="Times New Roman" w:eastAsia="Times New Roman" w:hAnsi="Times New Roman" w:cs="Times New Roman"/>
          <w:color w:val="000000"/>
          <w:sz w:val="28"/>
          <w:szCs w:val="28"/>
        </w:rPr>
        <w:t>Рэф</w:t>
      </w:r>
      <w:proofErr w:type="spellEnd"/>
      <w:r w:rsidRPr="00843743">
        <w:rPr>
          <w:rFonts w:ascii="Times New Roman" w:eastAsia="Times New Roman" w:hAnsi="Times New Roman" w:cs="Times New Roman"/>
          <w:color w:val="000000"/>
          <w:sz w:val="28"/>
          <w:szCs w:val="28"/>
        </w:rPr>
        <w:t> ;</w:t>
      </w:r>
      <w:proofErr w:type="gramEnd"/>
      <w:r w:rsidRPr="0084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N4 =</w:t>
      </w:r>
      <w:r w:rsidR="00843743" w:rsidRPr="0084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3743">
        <w:rPr>
          <w:rFonts w:ascii="Times New Roman" w:eastAsia="Times New Roman" w:hAnsi="Times New Roman" w:cs="Times New Roman"/>
          <w:color w:val="000000"/>
          <w:sz w:val="28"/>
          <w:szCs w:val="28"/>
        </w:rPr>
        <w:t>853,8/1564</w:t>
      </w:r>
      <w:r w:rsidR="00843743" w:rsidRPr="0084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 1 </w:t>
      </w:r>
      <w:proofErr w:type="spellStart"/>
      <w:r w:rsidRPr="00843743">
        <w:rPr>
          <w:rFonts w:ascii="Times New Roman" w:eastAsia="Times New Roman" w:hAnsi="Times New Roman" w:cs="Times New Roman"/>
          <w:color w:val="000000"/>
          <w:sz w:val="28"/>
          <w:szCs w:val="28"/>
        </w:rPr>
        <w:t>чел</w:t>
      </w:r>
      <w:proofErr w:type="spellEnd"/>
      <w:r w:rsidRPr="008437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60C6" w:rsidRPr="00843743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743">
        <w:rPr>
          <w:rFonts w:ascii="Times New Roman" w:eastAsia="Times New Roman" w:hAnsi="Times New Roman" w:cs="Times New Roman"/>
          <w:color w:val="000000"/>
          <w:sz w:val="28"/>
          <w:szCs w:val="28"/>
        </w:rPr>
        <w:t>N3 = Q3 /</w:t>
      </w:r>
      <w:proofErr w:type="spellStart"/>
      <w:proofErr w:type="gramStart"/>
      <w:r w:rsidRPr="00843743">
        <w:rPr>
          <w:rFonts w:ascii="Times New Roman" w:eastAsia="Times New Roman" w:hAnsi="Times New Roman" w:cs="Times New Roman"/>
          <w:color w:val="000000"/>
          <w:sz w:val="28"/>
          <w:szCs w:val="28"/>
        </w:rPr>
        <w:t>Рэф</w:t>
      </w:r>
      <w:proofErr w:type="spellEnd"/>
      <w:r w:rsidRPr="00843743">
        <w:rPr>
          <w:rFonts w:ascii="Times New Roman" w:eastAsia="Times New Roman" w:hAnsi="Times New Roman" w:cs="Times New Roman"/>
          <w:color w:val="000000"/>
          <w:sz w:val="28"/>
          <w:szCs w:val="28"/>
        </w:rPr>
        <w:t> ;</w:t>
      </w:r>
      <w:proofErr w:type="gramEnd"/>
      <w:r w:rsidRPr="0084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N3 =</w:t>
      </w:r>
      <w:r w:rsidR="00843743" w:rsidRPr="0084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3743">
        <w:rPr>
          <w:rFonts w:ascii="Times New Roman" w:eastAsia="Times New Roman" w:hAnsi="Times New Roman" w:cs="Times New Roman"/>
          <w:color w:val="000000"/>
          <w:sz w:val="28"/>
          <w:szCs w:val="28"/>
        </w:rPr>
        <w:t>2119,7/1564</w:t>
      </w:r>
      <w:r w:rsidR="00843743" w:rsidRPr="0084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 2 </w:t>
      </w:r>
      <w:proofErr w:type="spellStart"/>
      <w:r w:rsidRPr="00843743">
        <w:rPr>
          <w:rFonts w:ascii="Times New Roman" w:eastAsia="Times New Roman" w:hAnsi="Times New Roman" w:cs="Times New Roman"/>
          <w:color w:val="000000"/>
          <w:sz w:val="28"/>
          <w:szCs w:val="28"/>
        </w:rPr>
        <w:t>чел</w:t>
      </w:r>
      <w:proofErr w:type="spellEnd"/>
      <w:r w:rsidR="00843743" w:rsidRPr="008437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60C6" w:rsidRPr="00843743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743">
        <w:rPr>
          <w:rFonts w:ascii="Times New Roman" w:eastAsia="Times New Roman" w:hAnsi="Times New Roman" w:cs="Times New Roman"/>
          <w:color w:val="000000"/>
          <w:sz w:val="28"/>
          <w:szCs w:val="28"/>
        </w:rPr>
        <w:t>N2 = Q2 /</w:t>
      </w:r>
      <w:proofErr w:type="spellStart"/>
      <w:proofErr w:type="gramStart"/>
      <w:r w:rsidRP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Рэф</w:t>
      </w:r>
      <w:proofErr w:type="spellEnd"/>
      <w:r w:rsidRPr="00843743">
        <w:rPr>
          <w:rFonts w:ascii="Times New Roman" w:eastAsia="Times New Roman" w:hAnsi="Times New Roman" w:cs="Times New Roman"/>
          <w:color w:val="000000"/>
          <w:sz w:val="28"/>
          <w:szCs w:val="28"/>
        </w:rPr>
        <w:t> ;</w:t>
      </w:r>
      <w:proofErr w:type="gramEnd"/>
      <w:r w:rsidRPr="0084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N2 =</w:t>
      </w:r>
      <w:r w:rsidR="00843743" w:rsidRPr="0084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3743">
        <w:rPr>
          <w:rFonts w:ascii="Times New Roman" w:eastAsia="Times New Roman" w:hAnsi="Times New Roman" w:cs="Times New Roman"/>
          <w:color w:val="000000"/>
          <w:sz w:val="28"/>
          <w:szCs w:val="28"/>
        </w:rPr>
        <w:t>187,5/1564</w:t>
      </w:r>
      <w:r w:rsidR="00843743" w:rsidRPr="0084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 1 </w:t>
      </w:r>
      <w:r w:rsidRP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чел</w:t>
      </w:r>
      <w:r w:rsidR="00843743" w:rsidRPr="008437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Используя опыт работы </w:t>
      </w: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Мысовской</w:t>
      </w:r>
      <w:proofErr w:type="spellEnd"/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дистанции электроснабжения при дежурстве на дому в ночное и вечернее время, количество дежурных электромонтеров принимаем 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4чел.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Количество работников: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1.Начальник подстанции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1 чел.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2.Старший. эл. механик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1 чел.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3.Дежурный эл. механик —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4 чел.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Эл. монтер 6р.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 чел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 Эл. монтёр 5р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1 чел.</w:t>
      </w:r>
    </w:p>
    <w:p w:rsid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Итого чел.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— 8 чел.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5. Планирование расходов на ЗП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Оплата труда работников производится на основании положения о корпоративной оплате труда.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Положение о корпоративной системе оплаты труда работников филиалов и структурных подразделений открытого акционерного общества «Российские железные дороги» разработано в соответствии со статьей 135 Трудового кодекса Российской федерации и пунктом 88 Устава открытого акционерного общест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 «Российские железные дороги»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утвержд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ё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нного постановлением Правительства Российской Федерации от 18 сентября 2003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г. №585.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Положение содержит в себе сведения о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оплате труда, рабочих и служащих; оплату труда руководителям и специалистам; выплаты компенсационного характера; выплаты стимулирующего характера; региональное регулирование.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 работников ЭЧЭ используется повременно-премиальная форма оплаты труда.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 старшего эл. механика ЭЧЭ размер должностного оклада.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Оплата труда </w:t>
      </w:r>
      <w:proofErr w:type="spellStart"/>
      <w:proofErr w:type="gram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эл.монт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ё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ров</w:t>
      </w:r>
      <w:proofErr w:type="spellEnd"/>
      <w:proofErr w:type="gram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производится по часовым тарифным ставкам. Тарифные ставки часовые зависят от квалификационного разряда, от условий труда. Для них установлены часовые тарифные коэффициенты по Единой отраслевой сетке для работников железнодорожного транспорта: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992"/>
        <w:gridCol w:w="992"/>
        <w:gridCol w:w="993"/>
        <w:gridCol w:w="992"/>
        <w:gridCol w:w="992"/>
        <w:gridCol w:w="1134"/>
      </w:tblGrid>
      <w:tr w:rsidR="00A060C6" w:rsidRPr="00A060C6" w:rsidTr="00843743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A060C6" w:rsidRPr="00A060C6" w:rsidRDefault="00A060C6" w:rsidP="00843743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</w:t>
            </w:r>
            <w:proofErr w:type="spellEnd"/>
            <w:proofErr w:type="gramEnd"/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A060C6" w:rsidRPr="00A060C6" w:rsidRDefault="00A060C6" w:rsidP="00843743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</w:rPr>
              <w:t>1р.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A060C6" w:rsidRPr="00A060C6" w:rsidRDefault="00A060C6" w:rsidP="00843743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</w:rPr>
              <w:t>2р.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A060C6" w:rsidRPr="00A060C6" w:rsidRDefault="00A060C6" w:rsidP="00843743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</w:rPr>
              <w:t>3р.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A060C6" w:rsidRPr="00A060C6" w:rsidRDefault="00A060C6" w:rsidP="00843743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</w:rPr>
              <w:t>4р.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A060C6" w:rsidRPr="00A060C6" w:rsidRDefault="00A060C6" w:rsidP="00843743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</w:rPr>
              <w:t>5р.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A060C6" w:rsidRPr="00A060C6" w:rsidRDefault="00A060C6" w:rsidP="00843743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</w:rPr>
              <w:t>6р.</w:t>
            </w:r>
          </w:p>
        </w:tc>
      </w:tr>
      <w:tr w:rsidR="00A060C6" w:rsidRPr="00A060C6" w:rsidTr="00843743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843743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  <w:proofErr w:type="spellEnd"/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060C6" w:rsidRPr="00A060C6" w:rsidRDefault="00A060C6" w:rsidP="00843743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</w:rPr>
              <w:t>коэф</w:t>
            </w:r>
            <w:proofErr w:type="spellEnd"/>
            <w:proofErr w:type="gramEnd"/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843743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843743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843743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843743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843743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843743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ЗП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= ЗП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</w:rPr>
        <w:t>min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отрасли /166,7, </w:t>
      </w: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руб</w:t>
      </w:r>
      <w:proofErr w:type="spell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/час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ЗП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5617/166,7 = 33,7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руб</w:t>
      </w:r>
      <w:proofErr w:type="spell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/час</w:t>
      </w:r>
    </w:p>
    <w:p w:rsid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Тарифная ставка </w:t>
      </w:r>
      <w:proofErr w:type="spellStart"/>
      <w:proofErr w:type="gram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эл.монт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ё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proofErr w:type="spellEnd"/>
      <w:proofErr w:type="gramEnd"/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1р.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33,7*1,14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38,4 руб./час.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2р.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33,7*1,37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46,2 руб./час.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3р.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33,7*1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63=5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4,93 руб./час.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4р.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33,7*1,89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63,69 руб./час.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5р.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33,7*2,12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71,44 руб./час.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6р.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33,7*2,31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77,84 руб./час.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Устанавливаются доплаты рабочим за условия труда на предприятиях.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Доплата за условия труда производится в % к тарифной ставке в следующих размерах: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работах с тяж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ё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лыми и вредными условиями труда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4;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8;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12%.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работах с особо тяж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ё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лыми условиями труда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16;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20;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24%.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Работа эл. монт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ё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ров ЭЧЭ относится к работе с тяж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ё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лыми и вредными условиями труда. Размер доплат для эл. монт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ё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ров ЭЧЭ принимаем 8% от тарифной ставки.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Важным элементом тарифной системы является районные коэффициенты, которые устанавливают определ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ё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нный процент увеличения ЗП работников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предприятий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расположенных в северных и отдал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ённых районах страны, а такж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 в районах с трудными природно-климатическими условиями.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 железнодорожников на территори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Бурятии районный коэффициент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30% т.е. </w:t>
      </w: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</w:t>
      </w:r>
      <w:proofErr w:type="spellEnd"/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Районные коэффициенты начисляются на заработок. В заработок, на который начисляется районный коэффициент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входит: ЗП по тарифу, премия, определяемая по действующим системам премирования за работу в ночное время, сверхурочную работу и работу в праздничные дни, за совмещение должностей и профессий, за вредность.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Премирование работников произво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дится из фонда ЗП В размере 30%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 тарифной ставки с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ё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том вредности.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 фонда заработной платы начисляе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тся премия рабочим в размере 30%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Фонд рабочего времени за месяц принимаем: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proofErr w:type="gram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Рк.мес</w:t>
      </w:r>
      <w:proofErr w:type="spellEnd"/>
      <w:proofErr w:type="gramEnd"/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Рк.г</w:t>
      </w:r>
      <w:proofErr w:type="spell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/ 12 месяцев. час.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proofErr w:type="gram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Рк.мес</w:t>
      </w:r>
      <w:proofErr w:type="spellEnd"/>
      <w:proofErr w:type="gramEnd"/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1990,8/12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165,9час.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Расч</w:t>
      </w:r>
      <w:r w:rsidR="008437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ё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 фонда заработной платы за месяц производим в таблице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9"/>
        <w:gridCol w:w="1287"/>
        <w:gridCol w:w="1000"/>
        <w:gridCol w:w="1242"/>
        <w:gridCol w:w="1063"/>
        <w:gridCol w:w="1208"/>
        <w:gridCol w:w="668"/>
        <w:gridCol w:w="765"/>
        <w:gridCol w:w="661"/>
      </w:tblGrid>
      <w:tr w:rsidR="00A060C6" w:rsidRPr="00843743" w:rsidTr="00843743"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843743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Категория работников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843743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Кол-во работников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843743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Норма рабочего времен</w:t>
            </w:r>
          </w:p>
          <w:p w:rsidR="00A060C6" w:rsidRPr="00843743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843743" w:rsidRDefault="00843743" w:rsidP="00843743">
            <w:pPr>
              <w:shd w:val="clear" w:color="auto" w:fill="FFFFFF" w:themeFill="background1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A060C6"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клад</w:t>
            </w:r>
          </w:p>
          <w:p w:rsidR="00A060C6" w:rsidRPr="00843743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 тарифная ставка, руб.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843743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Доплата за</w:t>
            </w:r>
          </w:p>
          <w:p w:rsidR="00843743" w:rsidRDefault="00A060C6" w:rsidP="00843743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вредность</w:t>
            </w:r>
          </w:p>
          <w:p w:rsidR="00A060C6" w:rsidRPr="00843743" w:rsidRDefault="00A060C6" w:rsidP="00843743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%</w:t>
            </w:r>
            <w:r w:rsid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</w:t>
            </w:r>
            <w:r w:rsid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843743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Доплата за работу в ночное время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843743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Север </w:t>
            </w:r>
            <w:proofErr w:type="spellStart"/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надб</w:t>
            </w:r>
            <w:proofErr w:type="spellEnd"/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060C6" w:rsidRPr="00843743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30% руб</w:t>
            </w:r>
            <w:r w:rsid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843743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Район-</w:t>
            </w:r>
            <w:proofErr w:type="spellStart"/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ный</w:t>
            </w:r>
            <w:proofErr w:type="spellEnd"/>
            <w:proofErr w:type="gramEnd"/>
          </w:p>
          <w:p w:rsidR="00A060C6" w:rsidRPr="00843743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Коэф</w:t>
            </w:r>
            <w:proofErr w:type="spellEnd"/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060C6" w:rsidRPr="00843743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30% руб</w:t>
            </w:r>
            <w:r w:rsid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843743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всего</w:t>
            </w:r>
          </w:p>
          <w:p w:rsidR="00A060C6" w:rsidRPr="00843743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руб.</w:t>
            </w:r>
          </w:p>
        </w:tc>
      </w:tr>
      <w:tr w:rsidR="00A060C6" w:rsidRPr="00843743" w:rsidTr="00843743"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843743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Начальник ЭЧ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843743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843743" w:rsidRDefault="00A060C6" w:rsidP="00843743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166</w:t>
            </w:r>
            <w:r w:rsid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843743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25991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843743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843743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843743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7797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843743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7797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843743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41585</w:t>
            </w:r>
          </w:p>
        </w:tc>
      </w:tr>
      <w:tr w:rsidR="00A060C6" w:rsidRPr="00843743" w:rsidTr="00843743"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843743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Ст.эл.механик</w:t>
            </w:r>
            <w:proofErr w:type="spellEnd"/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843743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843743" w:rsidRDefault="00A060C6" w:rsidP="00843743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166</w:t>
            </w:r>
            <w:r w:rsid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843743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18482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843743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773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843743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843743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5804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843743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5804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843743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31728</w:t>
            </w:r>
          </w:p>
        </w:tc>
      </w:tr>
      <w:tr w:rsidR="00A060C6" w:rsidRPr="00843743" w:rsidTr="00843743"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843743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Деж.эл.механик</w:t>
            </w:r>
            <w:proofErr w:type="spellEnd"/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843743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843743" w:rsidRDefault="00A060C6" w:rsidP="00843743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166</w:t>
            </w:r>
            <w:r w:rsid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843743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13718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843743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843743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1282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843743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4504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843743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4504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843743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24624</w:t>
            </w:r>
          </w:p>
        </w:tc>
      </w:tr>
      <w:tr w:rsidR="00A060C6" w:rsidRPr="00843743" w:rsidTr="00843743"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843743" w:rsidRDefault="00A060C6" w:rsidP="00843743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Эл.монт</w:t>
            </w:r>
            <w:r w:rsid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ё</w:t>
            </w: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spellEnd"/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5р.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843743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843743" w:rsidRDefault="00A060C6" w:rsidP="00843743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166</w:t>
            </w:r>
            <w:r w:rsid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843743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71,44</w:t>
            </w:r>
          </w:p>
          <w:p w:rsidR="00A060C6" w:rsidRPr="00843743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12726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843743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1298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843743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843743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3237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843743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3237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843743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18559</w:t>
            </w:r>
          </w:p>
        </w:tc>
      </w:tr>
      <w:tr w:rsidR="00843743" w:rsidRPr="00843743" w:rsidTr="00843743"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43743" w:rsidRPr="00843743" w:rsidRDefault="00843743" w:rsidP="00843743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Эл.монт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ё</w:t>
            </w: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spellEnd"/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4р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43743" w:rsidRPr="00843743" w:rsidRDefault="00843743" w:rsidP="00843743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43743" w:rsidRDefault="00843743" w:rsidP="00843743">
            <w:r w:rsidRPr="00F81B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166,8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43743" w:rsidRPr="00843743" w:rsidRDefault="00843743" w:rsidP="00843743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63,69</w:t>
            </w:r>
          </w:p>
          <w:p w:rsidR="00843743" w:rsidRPr="00843743" w:rsidRDefault="00843743" w:rsidP="00843743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11754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43743" w:rsidRPr="00843743" w:rsidRDefault="00843743" w:rsidP="00843743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1154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43743" w:rsidRPr="00843743" w:rsidRDefault="00843743" w:rsidP="00843743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43743" w:rsidRPr="00843743" w:rsidRDefault="00843743" w:rsidP="00843743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2886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43743" w:rsidRPr="00843743" w:rsidRDefault="00843743" w:rsidP="00843743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2886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43743" w:rsidRPr="00843743" w:rsidRDefault="00843743" w:rsidP="00843743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16547</w:t>
            </w:r>
          </w:p>
        </w:tc>
      </w:tr>
      <w:tr w:rsidR="00843743" w:rsidRPr="00843743" w:rsidTr="00843743"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43743" w:rsidRPr="00843743" w:rsidRDefault="00843743" w:rsidP="00843743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Эл.монт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ё</w:t>
            </w: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spellEnd"/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3р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43743" w:rsidRPr="00843743" w:rsidRDefault="00843743" w:rsidP="00843743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43743" w:rsidRDefault="00843743" w:rsidP="00843743">
            <w:r w:rsidRPr="00F81B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166,8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43743" w:rsidRPr="00843743" w:rsidRDefault="00843743" w:rsidP="00843743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54,9310791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43743" w:rsidRPr="00843743" w:rsidRDefault="00843743" w:rsidP="00843743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995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43743" w:rsidRPr="00843743" w:rsidRDefault="00843743" w:rsidP="00843743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43743" w:rsidRPr="00843743" w:rsidRDefault="00843743" w:rsidP="00843743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2489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43743" w:rsidRPr="00843743" w:rsidRDefault="00843743" w:rsidP="00843743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2489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43743" w:rsidRPr="00843743" w:rsidRDefault="00843743" w:rsidP="00843743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14271</w:t>
            </w:r>
          </w:p>
          <w:p w:rsidR="00843743" w:rsidRPr="00843743" w:rsidRDefault="00843743" w:rsidP="00843743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28542</w:t>
            </w:r>
          </w:p>
        </w:tc>
      </w:tr>
      <w:tr w:rsidR="00D951E3" w:rsidRPr="00843743" w:rsidTr="00843743"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951E3" w:rsidRPr="00843743" w:rsidRDefault="00D951E3" w:rsidP="00D951E3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Эл.монт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ё</w:t>
            </w: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951E3" w:rsidRPr="00843743" w:rsidRDefault="00D951E3" w:rsidP="00D951E3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951E3" w:rsidRDefault="00D951E3" w:rsidP="00D951E3">
            <w:r w:rsidRPr="00AB18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166,8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951E3" w:rsidRPr="00843743" w:rsidRDefault="00D951E3" w:rsidP="00D951E3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46,2</w:t>
            </w:r>
          </w:p>
          <w:p w:rsidR="00D951E3" w:rsidRPr="00843743" w:rsidRDefault="00D951E3" w:rsidP="00D951E3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9621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951E3" w:rsidRPr="00843743" w:rsidRDefault="00D951E3" w:rsidP="00D951E3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832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951E3" w:rsidRPr="00843743" w:rsidRDefault="00D951E3" w:rsidP="00D951E3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951E3" w:rsidRPr="00843743" w:rsidRDefault="00D951E3" w:rsidP="00D951E3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2082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951E3" w:rsidRPr="00843743" w:rsidRDefault="00D951E3" w:rsidP="00D951E3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2082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951E3" w:rsidRPr="00843743" w:rsidRDefault="00D951E3" w:rsidP="00D951E3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11936</w:t>
            </w:r>
          </w:p>
        </w:tc>
      </w:tr>
      <w:tr w:rsidR="00D951E3" w:rsidRPr="00843743" w:rsidTr="00843743"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951E3" w:rsidRPr="00843743" w:rsidRDefault="00D951E3" w:rsidP="00D951E3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Водитель авто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951E3" w:rsidRPr="00843743" w:rsidRDefault="00D951E3" w:rsidP="00D951E3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951E3" w:rsidRDefault="00D951E3" w:rsidP="00D951E3">
            <w:r w:rsidRPr="00AB18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166,8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951E3" w:rsidRPr="00843743" w:rsidRDefault="00D951E3" w:rsidP="00D951E3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8298.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951E3" w:rsidRPr="00843743" w:rsidRDefault="00D951E3" w:rsidP="00D951E3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951E3" w:rsidRPr="00843743" w:rsidRDefault="00D951E3" w:rsidP="00D951E3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951E3" w:rsidRPr="00843743" w:rsidRDefault="00D951E3" w:rsidP="00D951E3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3237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951E3" w:rsidRPr="00843743" w:rsidRDefault="00D951E3" w:rsidP="00D951E3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3237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951E3" w:rsidRPr="00843743" w:rsidRDefault="00D951E3" w:rsidP="00D951E3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17265</w:t>
            </w:r>
          </w:p>
          <w:p w:rsidR="00D951E3" w:rsidRPr="00843743" w:rsidRDefault="00D951E3" w:rsidP="00D951E3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51795</w:t>
            </w:r>
          </w:p>
        </w:tc>
      </w:tr>
      <w:tr w:rsidR="00A060C6" w:rsidRPr="00843743" w:rsidTr="00843743"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843743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78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843743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37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225316</w:t>
            </w:r>
          </w:p>
        </w:tc>
      </w:tr>
    </w:tbl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Квартальный фонд заработной платы за квартал определяем умножением фонда заработной платы за месяц на число месяцев в квартале:</w:t>
      </w:r>
    </w:p>
    <w:p w:rsidR="00A060C6" w:rsidRPr="00D951E3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Фквар</w:t>
      </w:r>
      <w:proofErr w:type="spellEnd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Фмес</w:t>
      </w:r>
      <w:proofErr w:type="spellEnd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*3</w:t>
      </w:r>
    </w:p>
    <w:p w:rsidR="00A060C6" w:rsidRPr="00D951E3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Ф1квар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 141254,42*3 = 423763,26 руб.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Заработная плата за следующие квартал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индексируется на 100% от уровня инфляции. Уровень инфляции в 2010 запланирован 12% годовых, ежеквартально получается 3%.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Ф2квар =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423763,26*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1,03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432238,5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Ф3квар. =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432238,5*1,03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440883,2 руб.</w:t>
      </w:r>
    </w:p>
    <w:p w:rsidR="00A060C6" w:rsidRPr="00D951E3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Ф4квар.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951E3"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 440883,2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*1,02</w:t>
      </w:r>
      <w:r w:rsidR="00D951E3"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 w:rsidR="00D951E3"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449700,9 руб.</w:t>
      </w:r>
    </w:p>
    <w:p w:rsidR="00A060C6" w:rsidRPr="00D951E3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Фгод</w:t>
      </w:r>
      <w:proofErr w:type="spellEnd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= ∑Ф1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4квар., руб.</w:t>
      </w:r>
    </w:p>
    <w:p w:rsidR="00A060C6" w:rsidRPr="00D951E3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Фгод</w:t>
      </w:r>
      <w:proofErr w:type="spellEnd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1781517,5 руб.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6. Согласно налогового кодекса определяем расходы на социальные взносы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Отчисления на социальн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взносы принимаются в размере 26% от планового годового фонда З.П из них 20% 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пенсионные фонд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ы; 0,031%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обязательное медицинское страхование; и 0,029%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социальное страхование.</w:t>
      </w:r>
    </w:p>
    <w:p w:rsidR="00A060C6" w:rsidRPr="00D951E3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D95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Рсв</w:t>
      </w:r>
      <w:proofErr w:type="spellEnd"/>
      <w:r w:rsidRPr="00D95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95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= 0,3*Ф1квар, руб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060C6" w:rsidRPr="00D951E3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Рсв</w:t>
      </w:r>
      <w:proofErr w:type="spellEnd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1ква.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423763*0,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26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127128,9 руб.</w:t>
      </w:r>
    </w:p>
    <w:p w:rsidR="00A060C6" w:rsidRPr="00D951E3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Рсв</w:t>
      </w:r>
      <w:proofErr w:type="spellEnd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2ква.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 127128,9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*0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26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38138,67 руб.</w:t>
      </w:r>
    </w:p>
    <w:p w:rsidR="00A060C6" w:rsidRPr="00D951E3" w:rsidRDefault="00D951E3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="00A060C6"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</w:t>
      </w:r>
      <w:proofErr w:type="spellEnd"/>
      <w:r w:rsidR="00A060C6"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3ква.</w:t>
      </w:r>
      <w:r w:rsidR="00A060C6" w:rsidRPr="00D951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060C6"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 38138,67*0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="00A060C6"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060C6"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060C6"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11441,6 руб.</w:t>
      </w:r>
    </w:p>
    <w:p w:rsidR="00A060C6" w:rsidRPr="00D951E3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Рсв</w:t>
      </w:r>
      <w:proofErr w:type="spellEnd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4ква.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 11441,6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*0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26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3432,48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руб.</w:t>
      </w:r>
    </w:p>
    <w:p w:rsidR="00A060C6" w:rsidRPr="00D951E3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Рсв</w:t>
      </w:r>
      <w:proofErr w:type="spellEnd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год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 0,3*∑</w:t>
      </w:r>
      <w:proofErr w:type="spellStart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Фквар</w:t>
      </w:r>
      <w:proofErr w:type="spellEnd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руб.</w:t>
      </w:r>
    </w:p>
    <w:p w:rsidR="00A060C6" w:rsidRPr="00D951E3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Рсвгод</w:t>
      </w:r>
      <w:proofErr w:type="spellEnd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(127128,9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+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38138,67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+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11441,6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+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3432,</w:t>
      </w:r>
      <w:proofErr w:type="gramStart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48)*</w:t>
      </w:r>
      <w:proofErr w:type="gramEnd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0,26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 46836,83 руб.</w:t>
      </w:r>
    </w:p>
    <w:p w:rsidR="00A060C6" w:rsidRPr="00D951E3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Расход </w:t>
      </w:r>
      <w:proofErr w:type="spellStart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Рпф</w:t>
      </w:r>
      <w:proofErr w:type="spellEnd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Рпф</w:t>
      </w:r>
      <w:proofErr w:type="spellEnd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 0,2*Ф1квар, руб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060C6" w:rsidRPr="00D951E3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Рпф</w:t>
      </w:r>
      <w:proofErr w:type="spellEnd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</w:t>
      </w:r>
      <w:proofErr w:type="spellEnd"/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423763*0,2 = 86752,6 руб.</w:t>
      </w:r>
    </w:p>
    <w:p w:rsidR="00A060C6" w:rsidRPr="00D951E3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Рпф</w:t>
      </w:r>
      <w:proofErr w:type="spellEnd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</w:t>
      </w:r>
      <w:proofErr w:type="spellEnd"/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86752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,6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*0,2 = 17350,52руб.</w:t>
      </w:r>
    </w:p>
    <w:p w:rsidR="00A060C6" w:rsidRPr="00D951E3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Рпф</w:t>
      </w:r>
      <w:proofErr w:type="spellEnd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</w:t>
      </w:r>
      <w:proofErr w:type="spellEnd"/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17350,52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*0,2 = 3470,1руб.</w:t>
      </w:r>
    </w:p>
    <w:p w:rsidR="00A060C6" w:rsidRPr="00D951E3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Рпф</w:t>
      </w:r>
      <w:proofErr w:type="spellEnd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</w:t>
      </w:r>
      <w:proofErr w:type="spellEnd"/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3470,1*0,2 = 694,02 руб.</w:t>
      </w:r>
    </w:p>
    <w:p w:rsidR="00A060C6" w:rsidRPr="00D951E3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D95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Рпф</w:t>
      </w:r>
      <w:proofErr w:type="spellEnd"/>
      <w:r w:rsidRPr="00D95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 год</w:t>
      </w:r>
      <w:r w:rsidRPr="00D95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95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= 0,2*∑</w:t>
      </w:r>
      <w:proofErr w:type="spellStart"/>
      <w:proofErr w:type="gramStart"/>
      <w:r w:rsidRPr="00D95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Фквар</w:t>
      </w:r>
      <w:proofErr w:type="spellEnd"/>
      <w:r w:rsidRPr="00D95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95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,</w:t>
      </w:r>
      <w:proofErr w:type="gramEnd"/>
      <w:r w:rsidRPr="00D95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руб.</w:t>
      </w:r>
    </w:p>
    <w:p w:rsidR="00A060C6" w:rsidRPr="00D951E3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Ргод</w:t>
      </w:r>
      <w:proofErr w:type="spellEnd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год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= 0,2*(86752,6+17359,52+3470,1+694,02) = </w:t>
      </w:r>
      <w:r w:rsidRPr="00D95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21653,45 руб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060C6" w:rsidRPr="00D951E3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Расход </w:t>
      </w:r>
      <w:proofErr w:type="spellStart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Рсс</w:t>
      </w:r>
      <w:proofErr w:type="spellEnd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060C6" w:rsidRPr="00D951E3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Рфес</w:t>
      </w:r>
      <w:proofErr w:type="spellEnd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 0,029*Ф1квар, руб.</w:t>
      </w:r>
    </w:p>
    <w:p w:rsidR="00A060C6" w:rsidRPr="00D951E3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 </w:t>
      </w:r>
      <w:proofErr w:type="spellStart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сс</w:t>
      </w:r>
      <w:proofErr w:type="spellEnd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1ква = 423763*0,029 =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12289,13 руб.</w:t>
      </w:r>
    </w:p>
    <w:p w:rsidR="00A060C6" w:rsidRPr="00D951E3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 </w:t>
      </w:r>
      <w:proofErr w:type="spellStart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сс</w:t>
      </w:r>
      <w:proofErr w:type="spellEnd"/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2ква = 12289,13 *0,029 = 356,4 руб.</w:t>
      </w:r>
    </w:p>
    <w:p w:rsidR="00A060C6" w:rsidRPr="00D951E3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 </w:t>
      </w:r>
      <w:proofErr w:type="spellStart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сс</w:t>
      </w:r>
      <w:proofErr w:type="spellEnd"/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 </w:t>
      </w:r>
      <w:proofErr w:type="spellStart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</w:t>
      </w:r>
      <w:proofErr w:type="spellEnd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= 356,4 *0,029 =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10,34 руб.</w:t>
      </w:r>
    </w:p>
    <w:p w:rsidR="00A060C6" w:rsidRPr="00D951E3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 </w:t>
      </w:r>
      <w:proofErr w:type="spellStart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сс</w:t>
      </w:r>
      <w:proofErr w:type="spellEnd"/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 </w:t>
      </w:r>
      <w:proofErr w:type="spellStart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</w:t>
      </w:r>
      <w:proofErr w:type="spellEnd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= 10,34*0,029 =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0,3 руб.</w:t>
      </w:r>
    </w:p>
    <w:p w:rsidR="00A060C6" w:rsidRPr="00D951E3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D95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Рфес</w:t>
      </w:r>
      <w:proofErr w:type="spellEnd"/>
      <w:r w:rsidRPr="00D95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95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= 0,029*∑</w:t>
      </w:r>
      <w:proofErr w:type="spellStart"/>
      <w:r w:rsidRPr="00D95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Фквар</w:t>
      </w:r>
      <w:proofErr w:type="spellEnd"/>
      <w:r w:rsidRPr="00D95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, руб.</w:t>
      </w:r>
    </w:p>
    <w:p w:rsidR="00A060C6" w:rsidRPr="00D951E3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Рсс</w:t>
      </w:r>
      <w:proofErr w:type="spellEnd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год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 0,029*(12289,13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+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356,4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+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10,34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+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0,3)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367,03 руб.</w:t>
      </w:r>
    </w:p>
    <w:p w:rsidR="00A060C6" w:rsidRPr="00D951E3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Расход Р </w:t>
      </w:r>
      <w:proofErr w:type="spellStart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омсс</w:t>
      </w:r>
      <w:proofErr w:type="spellEnd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060C6" w:rsidRPr="00D951E3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Рфес</w:t>
      </w:r>
      <w:proofErr w:type="spellEnd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 0,031*Ф1квар, руб.</w:t>
      </w:r>
    </w:p>
    <w:p w:rsidR="00A060C6" w:rsidRPr="00D951E3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Р </w:t>
      </w:r>
      <w:proofErr w:type="spellStart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омсс</w:t>
      </w:r>
      <w:proofErr w:type="spellEnd"/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1ква = 423763*0,031 =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13446,65 руб.</w:t>
      </w:r>
    </w:p>
    <w:p w:rsidR="00A060C6" w:rsidRPr="00D951E3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 омсс:2ква = 13446,65 *0,031 = 416,85 руб.</w:t>
      </w:r>
    </w:p>
    <w:p w:rsidR="00A060C6" w:rsidRPr="00D951E3" w:rsidRDefault="00D951E3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="00A060C6"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060C6"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омсс</w:t>
      </w:r>
      <w:proofErr w:type="spellEnd"/>
      <w:r w:rsidR="00A060C6"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 </w:t>
      </w:r>
      <w:proofErr w:type="spellStart"/>
      <w:r w:rsidR="00A060C6"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</w:t>
      </w:r>
      <w:proofErr w:type="spellEnd"/>
      <w:r w:rsidR="00A060C6"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= 416,85 *0,031 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060C6"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="00A060C6"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92 руб.</w:t>
      </w:r>
    </w:p>
    <w:p w:rsidR="00A060C6" w:rsidRPr="00D951E3" w:rsidRDefault="00D951E3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="00A060C6"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060C6"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омсс</w:t>
      </w:r>
      <w:proofErr w:type="spellEnd"/>
      <w:r w:rsidR="00A060C6"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 </w:t>
      </w:r>
      <w:proofErr w:type="spellStart"/>
      <w:r w:rsidR="00A060C6"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</w:t>
      </w:r>
      <w:proofErr w:type="spellEnd"/>
      <w:r w:rsidR="00A060C6"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= 12,92*0,031 = 0,4руб.</w:t>
      </w:r>
    </w:p>
    <w:p w:rsidR="00A060C6" w:rsidRPr="00D951E3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D95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Рсс</w:t>
      </w:r>
      <w:proofErr w:type="spellEnd"/>
      <w:r w:rsidRPr="00D95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95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= 0,031*∑</w:t>
      </w:r>
      <w:proofErr w:type="spellStart"/>
      <w:r w:rsidRPr="00D95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Фквар</w:t>
      </w:r>
      <w:proofErr w:type="spellEnd"/>
      <w:r w:rsidRPr="00D95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, руб.</w:t>
      </w:r>
    </w:p>
    <w:p w:rsidR="00A060C6" w:rsidRPr="00D951E3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Рсс</w:t>
      </w:r>
      <w:proofErr w:type="spellEnd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год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 0,031*(13446,65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+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416,85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+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12,92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+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0,4) = </w:t>
      </w:r>
      <w:r w:rsidRPr="00D95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430,18 руб.</w:t>
      </w:r>
    </w:p>
    <w:p w:rsid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7. Расход на электроэнергию на собственные нужды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Затраты на электроэнергию собственных нужд находим по формуле:</w:t>
      </w:r>
    </w:p>
    <w:p w:rsidR="00A060C6" w:rsidRPr="00D951E3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proofErr w:type="gramStart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Рс</w:t>
      </w:r>
      <w:proofErr w:type="spellEnd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..</w:t>
      </w:r>
      <w:proofErr w:type="gramEnd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н.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 w:rsidR="00D951E3"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А*С1кв.ч,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руб</w:t>
      </w:r>
      <w:proofErr w:type="spellEnd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Где: А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—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расход электроэнергии, принимаем равным по данным сч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ё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тчика ЭЧЭ 54 ст. </w:t>
      </w: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Мысов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ая</w:t>
      </w:r>
      <w:proofErr w:type="spell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кВт;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С1кв.ч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>.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тариф на 1кв.ч.</w:t>
      </w:r>
    </w:p>
    <w:p w:rsid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Рсн</w:t>
      </w:r>
      <w:proofErr w:type="spell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= 246610*1,35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 332923,5 руб.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8. Определение расходов на материалы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Величина денежной нормы расходов на материалы и запасные части на одну тяговую подстанцию колеблется по дорогам, по отделениям дороги и по отдельным подстанциям.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 курсовой работы расходы на материалы можно принять по данным ЭЧ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—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 на расч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ё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тный период и скорректировать на год с уч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ё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том индексации роста цен на продукцию производственно-технического назначения.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Настоящие среднесетевые нормы расхода материалов и запчастей разработаны Нормативно-исследовательской станцией электроснабжения Проектного и внедренческого центра организации труда ОАО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совместно с департаментом электрифика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ции и электроснабжения ОАО «РЖД»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России.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Дифференцируемые нормы расхода материальных ресурсов являются среднесетевыми, установлены на техническое обслуживание и текущий ремонт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устройств электроснабжения, в том числе: оборудование тяговых подстанций контактная сеть переключатели пунктов группировки, а также оборудование электростанций, трансформаторных подстанций, ЛЭП напряжением 0.4, 6, 10, 35 </w:t>
      </w: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</w:t>
      </w:r>
      <w:proofErr w:type="spell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кабельных линий напряжением до 10 </w:t>
      </w: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кВ.</w:t>
      </w:r>
      <w:proofErr w:type="spellEnd"/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Нормы расхода откорректированы на 01.04.99 г. в соответствии с постановлением Коллегии ОАО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«РЖД»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России от 22-23.12.98 г. № 26, указанием ОАО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России от 05.02.99 г. № Б-122у, указанием ОАО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России от 17.03.99 г. № 101.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 вводом настоящих норм расхода материальных ресурсов «Среднесетевые нормы расхода материалов, запасных частей и изделий на техническое обслуживание и текущий ремонт устройств электроснабжения ж. д. т, утверждённые 29 сентября 1997 года, считать утратившими силу.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Нормы расхода материалов запасных частей и изделий на техническое обслуживание и текущий ремонт оборудования тяговых подстанций, аппараты электронных защит, дистанционного управления и телемеханики.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Аварийный запас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1434"/>
        <w:gridCol w:w="2999"/>
        <w:gridCol w:w="1759"/>
        <w:gridCol w:w="925"/>
      </w:tblGrid>
      <w:tr w:rsidR="00A060C6" w:rsidRPr="00A060C6" w:rsidTr="00A060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Объекты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Измеритель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Годовая норма на </w:t>
            </w:r>
            <w:proofErr w:type="spellStart"/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изм</w:t>
            </w:r>
            <w:proofErr w:type="spellEnd"/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Величина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Норма</w:t>
            </w:r>
          </w:p>
        </w:tc>
      </w:tr>
      <w:tr w:rsidR="00A060C6" w:rsidRPr="00A060C6" w:rsidTr="00A060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Тяг. п/</w:t>
            </w:r>
            <w:proofErr w:type="spellStart"/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п/</w:t>
            </w:r>
            <w:proofErr w:type="spellStart"/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900</w:t>
            </w:r>
          </w:p>
        </w:tc>
      </w:tr>
    </w:tbl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Текущий запас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1434"/>
        <w:gridCol w:w="2999"/>
        <w:gridCol w:w="1759"/>
        <w:gridCol w:w="925"/>
      </w:tblGrid>
      <w:tr w:rsidR="00A060C6" w:rsidRPr="00A060C6" w:rsidTr="00A060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Объекты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Измеритель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Годовая норма на </w:t>
            </w:r>
            <w:proofErr w:type="spellStart"/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изм</w:t>
            </w:r>
            <w:proofErr w:type="spellEnd"/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Величина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Норма</w:t>
            </w:r>
          </w:p>
        </w:tc>
      </w:tr>
      <w:tr w:rsidR="00A060C6" w:rsidRPr="00A060C6" w:rsidTr="00A060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Тяг. п/</w:t>
            </w:r>
            <w:proofErr w:type="spellStart"/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п/</w:t>
            </w:r>
            <w:proofErr w:type="spellStart"/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000</w:t>
            </w:r>
          </w:p>
        </w:tc>
      </w:tr>
    </w:tbl>
    <w:p w:rsidR="00A060C6" w:rsidRPr="00D951E3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Сос</w:t>
      </w:r>
      <w:proofErr w:type="spellEnd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 = </w:t>
      </w:r>
      <w:proofErr w:type="spellStart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Сос.тех</w:t>
      </w:r>
      <w:proofErr w:type="spellEnd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 + </w:t>
      </w:r>
      <w:proofErr w:type="spellStart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Сос.авар</w:t>
      </w:r>
      <w:proofErr w:type="spellEnd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руб.</w:t>
      </w:r>
    </w:p>
    <w:p w:rsidR="00A060C6" w:rsidRPr="00D951E3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Где: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Сос</w:t>
      </w:r>
      <w:proofErr w:type="spellEnd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— расходы на материалы</w:t>
      </w:r>
    </w:p>
    <w:p w:rsidR="00A060C6" w:rsidRPr="00D951E3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Сос.тех</w:t>
      </w:r>
      <w:proofErr w:type="spellEnd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неснижаемый запас материалов и запасных частей по дистанции ЭЧ.</w:t>
      </w:r>
    </w:p>
    <w:p w:rsidR="00A060C6" w:rsidRPr="00D951E3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Сос.авар</w:t>
      </w:r>
      <w:proofErr w:type="spellEnd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материалы и запасные части для технического обслуживания и текущего ремонта дистанции ЭЧ.</w:t>
      </w:r>
    </w:p>
    <w:p w:rsidR="00A060C6" w:rsidRPr="00D951E3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Сос</w:t>
      </w:r>
      <w:proofErr w:type="spellEnd"/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 121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900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+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386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000 = 507</w:t>
      </w:r>
      <w:r w:rsid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900 руб.</w:t>
      </w:r>
    </w:p>
    <w:p w:rsid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9. Определяем расходы по охране труда и технике безопасности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Эти расходы включают расходы на погашение износа спец. одежды и спец. обуви, их ремонт и чистку, затраты на спец. мыло. Они планируются</w:t>
      </w:r>
      <w:r w:rsidR="00BA56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исходя из контингента работников по отдельным нормам затрат на одного работника. Для определения расходов на погашение износа спецодежды надо знать количество 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получающих спецодежду, нормы выдачи, сроки е</w:t>
      </w:r>
      <w:r w:rsidR="00BA56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ё службы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цену.</w:t>
      </w:r>
    </w:p>
    <w:p w:rsidR="00A060C6" w:rsidRPr="00A060C6" w:rsidRDefault="00BA568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Нормы выдачи спецодежды</w:t>
      </w:r>
      <w:r w:rsidR="00A060C6"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для работников ЭЧ утверждаются на основании бесплатной выдачи специальной одежды, специальной обуви и других средств индивидуальной защиты работникам организации Федерального Железнодорожного транспорта.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933"/>
        <w:gridCol w:w="31"/>
        <w:gridCol w:w="1475"/>
        <w:gridCol w:w="2164"/>
      </w:tblGrid>
      <w:tr w:rsidR="00A060C6" w:rsidRPr="00A060C6" w:rsidTr="00A060C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Срок службы.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Цена комплекта руб.</w:t>
            </w:r>
          </w:p>
        </w:tc>
      </w:tr>
      <w:tr w:rsidR="00A060C6" w:rsidRPr="00A83CA9" w:rsidTr="00A060C6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старши</w:t>
            </w:r>
            <w:r w:rsidR="00BA56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эл. механик, эл. монтёры, ДЭМ</w:t>
            </w: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A060C6" w:rsidRPr="00A060C6" w:rsidTr="00A060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BA568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Костюм эл. </w:t>
            </w:r>
            <w:r w:rsidR="00BA56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онтёр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060C6" w:rsidRPr="00A060C6" w:rsidTr="00A060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Плащ из прорезиненной ткани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060C6" w:rsidRPr="00A060C6" w:rsidTr="00A060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Перчатки хлопчатобумажные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060C6" w:rsidRPr="00A060C6" w:rsidTr="00A060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Рукавицы комбинированные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060C6" w:rsidRPr="00A060C6" w:rsidTr="00A060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Ботинки </w:t>
            </w:r>
            <w:proofErr w:type="spellStart"/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юфтовые</w:t>
            </w:r>
            <w:proofErr w:type="spellEnd"/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маслобензостойкой</w:t>
            </w:r>
            <w:proofErr w:type="spellEnd"/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подошве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060C6" w:rsidRPr="00A060C6" w:rsidTr="00A060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Перчатки диэлектрические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060C6" w:rsidRPr="00A060C6" w:rsidTr="00A060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Каска защитная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060C6" w:rsidRPr="00A060C6" w:rsidTr="00A060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Пояс предохранительный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060C6" w:rsidRPr="00A060C6" w:rsidTr="00A060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Теплозащитный костюм «Энергетик»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060C6" w:rsidRPr="00A060C6" w:rsidTr="00A060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Валенки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060C6" w:rsidRPr="00A060C6" w:rsidTr="00A060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BA568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Рукавицы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двух</w:t>
            </w:r>
            <w:r w:rsidR="00A060C6"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палые</w:t>
            </w:r>
            <w:proofErr w:type="spellEnd"/>
            <w:r w:rsidR="00A060C6"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утеплённые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1/2года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9F469F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82</w:t>
            </w:r>
            <w:r w:rsidR="009F469F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060C6" w:rsidRPr="00A060C6" w:rsidTr="00A060C6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Начальник ЭЧЭ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060C6" w:rsidRPr="00A060C6" w:rsidTr="00A060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Теплозащитный костюм «Энергетик»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года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060C6" w:rsidRPr="00A060C6" w:rsidTr="00A060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Шлем зимний со звуковой встав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год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060C6" w:rsidRPr="00A060C6" w:rsidTr="00A060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BA568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Рукавицы </w:t>
            </w:r>
            <w:proofErr w:type="spellStart"/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двухпалые</w:t>
            </w:r>
            <w:proofErr w:type="spellEnd"/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утеплённые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год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060C6" w:rsidRPr="00A060C6" w:rsidTr="00A060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Валенки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BA568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A56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 года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Расходы на погашение износа каждого вида спецодежды определяется по формуле: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060C6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891540" cy="365760"/>
            <wp:effectExtent l="0" t="0" r="3810" b="0"/>
            <wp:docPr id="1" name="Рисунок 1" descr="https://www.bestreferat.ru/images/paper/37/73/75273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estreferat.ru/images/paper/37/73/752733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где: </w:t>
      </w:r>
      <w:proofErr w:type="spellStart"/>
      <w:r w:rsidRPr="00BA56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Рс</w:t>
      </w:r>
      <w:proofErr w:type="spellEnd"/>
      <w:r w:rsidRPr="00BA56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/о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расходы на погашение износа спецодежды;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цена одного комплекта спецодежды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—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срок службы спецодежды.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—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количество комплектов данного вида спецодежды.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Общие расходы на погашение износа спецодежды определяем суммированием расходов по каждому виду спецодежды.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 начальника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Рткэ</w:t>
      </w:r>
      <w:proofErr w:type="spell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= (2500/</w:t>
      </w:r>
      <w:proofErr w:type="gram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30)*</w:t>
      </w:r>
      <w:proofErr w:type="gram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833,3 руб.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Ршлема</w:t>
      </w:r>
      <w:proofErr w:type="spell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= (220/</w:t>
      </w:r>
      <w:proofErr w:type="gram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1)*</w:t>
      </w:r>
      <w:proofErr w:type="gram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 = 220 руб.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Ррук</w:t>
      </w:r>
      <w:proofErr w:type="spell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= (200/</w:t>
      </w:r>
      <w:proofErr w:type="gram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1)*</w:t>
      </w:r>
      <w:proofErr w:type="gram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 = 200 руб.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 Рвал = (500/2,</w:t>
      </w:r>
      <w:proofErr w:type="gram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5)*</w:t>
      </w:r>
      <w:proofErr w:type="gram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 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200 руб.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 ДЭМ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Ркэ</w:t>
      </w:r>
      <w:proofErr w:type="spell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 = (800/</w:t>
      </w:r>
      <w:proofErr w:type="gram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1)*</w:t>
      </w:r>
      <w:proofErr w:type="gram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 = 3200 руб.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Рплащ</w:t>
      </w:r>
      <w:proofErr w:type="spell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 (1500/</w:t>
      </w:r>
      <w:proofErr w:type="gram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3)*</w:t>
      </w:r>
      <w:proofErr w:type="gram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 = 2000 руб.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Рперчат</w:t>
      </w:r>
      <w:proofErr w:type="spell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хб</w:t>
      </w:r>
      <w:proofErr w:type="spell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 (10/0,</w:t>
      </w:r>
      <w:proofErr w:type="gram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5)*</w:t>
      </w:r>
      <w:proofErr w:type="gram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 = 80 руб.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Рперчат</w:t>
      </w:r>
      <w:proofErr w:type="spell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диэл</w:t>
      </w:r>
      <w:proofErr w:type="spell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 (50/</w:t>
      </w:r>
      <w:proofErr w:type="gram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1)*</w:t>
      </w:r>
      <w:proofErr w:type="gram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 = 200 руб.</w:t>
      </w:r>
    </w:p>
    <w:p w:rsidR="00A060C6" w:rsidRPr="00A060C6" w:rsidRDefault="00BA568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Ррук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A060C6" w:rsidRPr="00A0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060C6"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 (10/</w:t>
      </w:r>
      <w:proofErr w:type="gramStart"/>
      <w:r w:rsidR="00A060C6"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0,083)*</w:t>
      </w:r>
      <w:proofErr w:type="gramEnd"/>
      <w:r w:rsidR="00A060C6"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 = 480 руб.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6. </w:t>
      </w: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Рсапоги</w:t>
      </w:r>
      <w:proofErr w:type="spell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 (1000/</w:t>
      </w:r>
      <w:proofErr w:type="gram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1)*</w:t>
      </w:r>
      <w:proofErr w:type="gram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 = 4000 руб.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7. </w:t>
      </w: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Ркаска</w:t>
      </w:r>
      <w:proofErr w:type="spell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 (150/</w:t>
      </w:r>
      <w:proofErr w:type="gram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3)*</w:t>
      </w:r>
      <w:proofErr w:type="gram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 = 200 руб.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8. </w:t>
      </w: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Рпояс</w:t>
      </w:r>
      <w:proofErr w:type="spell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= (500/</w:t>
      </w:r>
      <w:proofErr w:type="gram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1)*</w:t>
      </w:r>
      <w:proofErr w:type="gram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1000 руб.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9.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костюм э.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(2500/</w:t>
      </w:r>
      <w:proofErr w:type="gram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3)*</w:t>
      </w:r>
      <w:proofErr w:type="gram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3333,3. руб.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10. </w:t>
      </w: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Рваленки</w:t>
      </w:r>
      <w:proofErr w:type="spell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(500/2,</w:t>
      </w:r>
      <w:proofErr w:type="gram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5)*</w:t>
      </w:r>
      <w:proofErr w:type="gram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800 руб.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11. </w:t>
      </w: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Ррук.двухп</w:t>
      </w:r>
      <w:proofErr w:type="spell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(200/</w:t>
      </w:r>
      <w:proofErr w:type="gram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1)*</w:t>
      </w:r>
      <w:proofErr w:type="gram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4000 руб.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 эл. монтёра и ст. эл. механика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Ркэ</w:t>
      </w:r>
      <w:proofErr w:type="spell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 = (800/</w:t>
      </w:r>
      <w:proofErr w:type="gram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1)*</w:t>
      </w:r>
      <w:proofErr w:type="gram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 = 2400 руб.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Рплащ</w:t>
      </w:r>
      <w:proofErr w:type="spell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 (1500/</w:t>
      </w:r>
      <w:proofErr w:type="gram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3)*</w:t>
      </w:r>
      <w:proofErr w:type="gram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 = 1500 руб.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Рперчат</w:t>
      </w:r>
      <w:proofErr w:type="spell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хб</w:t>
      </w:r>
      <w:proofErr w:type="spell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(10/0,</w:t>
      </w:r>
      <w:proofErr w:type="gram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5)*</w:t>
      </w:r>
      <w:proofErr w:type="gram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60 руб.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Рперчат</w:t>
      </w:r>
      <w:proofErr w:type="spell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диэл</w:t>
      </w:r>
      <w:proofErr w:type="spell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(50/</w:t>
      </w:r>
      <w:proofErr w:type="gram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1)*</w:t>
      </w:r>
      <w:proofErr w:type="gram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150 руб.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5. </w:t>
      </w: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рук</w:t>
      </w:r>
      <w:proofErr w:type="spell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(10/</w:t>
      </w:r>
      <w:proofErr w:type="gram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0,083)*</w:t>
      </w:r>
      <w:proofErr w:type="gram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 361,4 руб.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6. </w:t>
      </w: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Рсапоги</w:t>
      </w:r>
      <w:proofErr w:type="spell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 (1000/</w:t>
      </w:r>
      <w:proofErr w:type="gram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1)*</w:t>
      </w:r>
      <w:proofErr w:type="gram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3000 руб.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7. </w:t>
      </w: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Ркаска</w:t>
      </w:r>
      <w:proofErr w:type="spell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(150/</w:t>
      </w:r>
      <w:proofErr w:type="gram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3)*</w:t>
      </w:r>
      <w:proofErr w:type="gram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 w:rsidR="00BA56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150 руб.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8. </w:t>
      </w: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Рпояс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(500/</w:t>
      </w:r>
      <w:proofErr w:type="gram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1)*</w:t>
      </w:r>
      <w:proofErr w:type="gram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="00BA56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 w:rsidR="00BA56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1500 руб.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9.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костюм э.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(2500/</w:t>
      </w:r>
      <w:proofErr w:type="gram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3)*</w:t>
      </w:r>
      <w:proofErr w:type="gram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2500 руб.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10. </w:t>
      </w: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Рваленки</w:t>
      </w:r>
      <w:proofErr w:type="spell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(500/2,</w:t>
      </w:r>
      <w:proofErr w:type="gram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5)*</w:t>
      </w:r>
      <w:proofErr w:type="gram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600 руб.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11. </w:t>
      </w: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Ррук.двухп</w:t>
      </w:r>
      <w:proofErr w:type="spell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(200/</w:t>
      </w:r>
      <w:proofErr w:type="gram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1)*</w:t>
      </w:r>
      <w:proofErr w:type="gram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600 руб.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∑</w:t>
      </w: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Рс</w:t>
      </w:r>
      <w:proofErr w:type="spell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/о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∑</w:t>
      </w: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Рспецодежды</w:t>
      </w:r>
      <w:proofErr w:type="spell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∑</w:t>
      </w: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Рс</w:t>
      </w:r>
      <w:proofErr w:type="spell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/о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33568 руб.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Рпр</w:t>
      </w:r>
      <w:proofErr w:type="spell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0,05*33568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1678.4руб.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Расходы </w:t>
      </w:r>
      <w:r w:rsidR="00BA56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мыло рассчитываем по нормам выдачи спец. мыл</w:t>
      </w:r>
      <w:r w:rsidR="00BA56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одного работника и количеств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работников. Норма на одного рабочего в год 2</w:t>
      </w:r>
      <w:r w:rsidR="00BA56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 кг.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Цена одного килограмма мыла 20 руб.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Плановая сумма расходов определяется в размере: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Рмр</w:t>
      </w:r>
      <w:proofErr w:type="spell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 w:rsidR="00BA56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BA56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,4*8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*20</w:t>
      </w:r>
      <w:r w:rsidR="00BA56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 w:rsidR="00BA56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384 р.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Расходы на охрану труда и технику безопасности составляют: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 w:rsidRPr="00A0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Ро.т</w:t>
      </w:r>
      <w:proofErr w:type="spellEnd"/>
      <w:r w:rsidRPr="00A0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и </w:t>
      </w:r>
      <w:proofErr w:type="spellStart"/>
      <w:r w:rsidRPr="00A0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т.б</w:t>
      </w:r>
      <w:proofErr w:type="spellEnd"/>
      <w:r w:rsidRPr="00A0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A0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0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= </w:t>
      </w:r>
      <w:proofErr w:type="spellStart"/>
      <w:r w:rsidRPr="00A0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Рс</w:t>
      </w:r>
      <w:proofErr w:type="spellEnd"/>
      <w:r w:rsidRPr="00A0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/о общ</w:t>
      </w:r>
      <w:r w:rsidRPr="00A0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0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+ </w:t>
      </w:r>
      <w:proofErr w:type="spellStart"/>
      <w:r w:rsidRPr="00A0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Рмыло</w:t>
      </w:r>
      <w:proofErr w:type="spellEnd"/>
      <w:r w:rsidRPr="00A0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0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+ </w:t>
      </w:r>
      <w:proofErr w:type="spellStart"/>
      <w:r w:rsidRPr="00A0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Рпр</w:t>
      </w:r>
      <w:proofErr w:type="spellEnd"/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Pо.т</w:t>
      </w:r>
      <w:proofErr w:type="spell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и </w:t>
      </w: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т.б</w:t>
      </w:r>
      <w:proofErr w:type="spell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 = 22121,4 + 384</w:t>
      </w:r>
      <w:r w:rsidR="00BA56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+</w:t>
      </w:r>
      <w:r w:rsidR="00BA56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1678,4 = 24183,8 руб.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Прочие расходы можно принять в размере 3% от фонда заработной платы годового:</w:t>
      </w:r>
    </w:p>
    <w:p w:rsidR="00A060C6" w:rsidRPr="00A060C6" w:rsidRDefault="00BA568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Рпр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 = 0.03 *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Фгод</w:t>
      </w:r>
      <w:proofErr w:type="spellEnd"/>
      <w:r w:rsidR="00A060C6" w:rsidRPr="00A0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, руб.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Рпр</w:t>
      </w:r>
      <w:proofErr w:type="spellEnd"/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= 0,03 *1781517,5 = 53445,5 руб.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Составляем смету затрат.</w:t>
      </w:r>
    </w:p>
    <w:p w:rsidR="00A060C6" w:rsidRPr="00A060C6" w:rsidRDefault="00A060C6" w:rsidP="00A060C6">
      <w:pPr>
        <w:shd w:val="clear" w:color="auto" w:fill="FFFFFF" w:themeFill="background1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060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Таблица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6"/>
        <w:gridCol w:w="2409"/>
      </w:tblGrid>
      <w:tr w:rsidR="00A060C6" w:rsidRPr="00A060C6" w:rsidTr="00A060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Стоимость в рублях</w:t>
            </w:r>
          </w:p>
        </w:tc>
      </w:tr>
      <w:tr w:rsidR="00A060C6" w:rsidRPr="00A060C6" w:rsidTr="00A060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 Расходы на заработную плату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517,5</w:t>
            </w:r>
          </w:p>
        </w:tc>
      </w:tr>
      <w:tr w:rsidR="00A060C6" w:rsidRPr="00A060C6" w:rsidTr="00A060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 Расходы на единый социальный налог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836,83</w:t>
            </w:r>
          </w:p>
        </w:tc>
      </w:tr>
      <w:tr w:rsidR="00A060C6" w:rsidRPr="00A060C6" w:rsidTr="00A060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 Расходы на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900</w:t>
            </w:r>
          </w:p>
        </w:tc>
      </w:tr>
      <w:tr w:rsidR="00A060C6" w:rsidRPr="00A060C6" w:rsidTr="00A060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 Расходы по охране труда и технике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06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183,8</w:t>
            </w:r>
          </w:p>
        </w:tc>
      </w:tr>
      <w:tr w:rsidR="00A060C6" w:rsidRPr="00A060C6" w:rsidTr="00A060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60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60C6" w:rsidRPr="00A060C6" w:rsidRDefault="00A060C6" w:rsidP="00A060C6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060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2 338 668,13</w:t>
            </w:r>
          </w:p>
        </w:tc>
      </w:tr>
    </w:tbl>
    <w:p w:rsidR="006F7952" w:rsidRDefault="006F7952" w:rsidP="00A060C6">
      <w:pPr>
        <w:shd w:val="clear" w:color="auto" w:fill="FFFFFF" w:themeFill="background1"/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A83CA9" w:rsidRPr="00A83CA9" w:rsidRDefault="00A83CA9" w:rsidP="00A83CA9">
      <w:pPr>
        <w:shd w:val="clear" w:color="auto" w:fill="FFFFFF" w:themeFill="background1"/>
        <w:spacing w:line="36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10. </w:t>
      </w:r>
      <w:r w:rsidRPr="00A83CA9">
        <w:rPr>
          <w:rFonts w:ascii="Times New Roman" w:hAnsi="Times New Roman" w:cs="Times New Roman"/>
          <w:b/>
          <w:sz w:val="28"/>
          <w:szCs w:val="28"/>
          <w:lang w:val="ru-RU"/>
        </w:rPr>
        <w:t>Выводы</w:t>
      </w:r>
    </w:p>
    <w:p w:rsidR="00A83CA9" w:rsidRPr="00A83CA9" w:rsidRDefault="00A83CA9" w:rsidP="00A060C6">
      <w:pPr>
        <w:shd w:val="clear" w:color="auto" w:fill="FFFFFF" w:themeFill="background1"/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выполнили необходимые расчёты, которые показывают, какие расходы необходимы железнодорожному предприятию для повышения эффективности работы и защищённости персонала. На основании этих расчётов можно предлагать план по улучшению общих показателей.</w:t>
      </w:r>
      <w:bookmarkStart w:id="0" w:name="_GoBack"/>
      <w:bookmarkEnd w:id="0"/>
    </w:p>
    <w:sectPr w:rsidR="00A83CA9" w:rsidRPr="00A83CA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C6"/>
    <w:rsid w:val="006F7952"/>
    <w:rsid w:val="00843743"/>
    <w:rsid w:val="009F469F"/>
    <w:rsid w:val="00A060C6"/>
    <w:rsid w:val="00A83CA9"/>
    <w:rsid w:val="00BA5686"/>
    <w:rsid w:val="00CD0FB3"/>
    <w:rsid w:val="00D9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6B11"/>
  <w15:chartTrackingRefBased/>
  <w15:docId w15:val="{AB1695F7-7397-46F9-A9B5-794CA093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0F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A060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A060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A060C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60C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060C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A060C6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A0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0F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7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17</Pages>
  <Words>3134</Words>
  <Characters>17866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Крюкова</dc:creator>
  <cp:keywords/>
  <dc:description/>
  <cp:lastModifiedBy>Евгения Крюкова</cp:lastModifiedBy>
  <cp:revision>3</cp:revision>
  <dcterms:created xsi:type="dcterms:W3CDTF">2021-06-07T20:02:00Z</dcterms:created>
  <dcterms:modified xsi:type="dcterms:W3CDTF">2021-06-08T09:05:00Z</dcterms:modified>
</cp:coreProperties>
</file>