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«САНКТ-ПЕТЕРБУРГСКИЙ ГОСУДАРСТВЕННЫЙ ЭКОНОМИЧЕСКИЙ УНИВЕРСИТЕТ»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МАГИСТРАТУРЫ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магистерской подготовки: Экономика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Магистерская программа: Экономика труда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ЭССЕ НА ТЕМУ: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noProof/>
          <w:sz w:val="28"/>
          <w:szCs w:val="28"/>
        </w:rPr>
        <w:t>Зарубежные активы российских ТНК»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noProof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МАГИСТРАНТ: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Дашибалова Э.Б,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ПРОВЕРИЛ: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Песоцкий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FFFFFF"/>
          <w:sz w:val="28"/>
          <w:szCs w:val="28"/>
        </w:rPr>
        <w:t>транснациональный</w:t>
      </w:r>
      <w:proofErr w:type="gramEnd"/>
      <w:r>
        <w:rPr>
          <w:rFonts w:ascii="Times New Roman CYR" w:hAnsi="Times New Roman CYR" w:cs="Times New Roman CYR"/>
          <w:color w:val="FFFFFF"/>
          <w:sz w:val="28"/>
          <w:szCs w:val="28"/>
        </w:rPr>
        <w:t xml:space="preserve"> компания российский глобальный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Отечественные ТНК считается анализом возникновения большущих русских фирм, занимающих повальное состояние не лишь только на районном, но и на крупном рынке, - раз из результатов становления русской экономики за последние 15 лет.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 воздействием беспристрастных внутренних и наружных моментов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начале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2000-х гг. сформировались благодатные обстоятельства для выхода ряда русских фирм на массовые рынки в качестве полноправных членов. Ключевой особой чертой, считается, сообразно специалистам ЮНКТАД, присутствие у какой-нибудь фирмы иностранных активов с толикой не наименее 10%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уставного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денежных средств. В согласовании данному определению к русским транснациональным фирмам, возможно, отнести, по всей видимости, некоторое количество фирм.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Внедрение определения «транснациональная компания» в российских аспектах - возникновение не новое. Ещё в середине 1990-х гг. ОАО «Лукойл» и РАО «Газпром» перечислялись в публикациях ЮНКТАД меж межэтнических компаний мира. Беря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забота допустимое весомое единиц российских русских компаний, формально подходящих под определение «транснациональных»,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видется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необходимым обозначить ряд данных, которые бы правильнее определяли их статус.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следствии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сего отличаются большие ТНК, отсеяв средние и маленькие в ведущем в следствии недостатка раскрытой инфы. Вспомогательными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аспектами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возможно считать: важный виток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фаворитные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позиции в ветви на внутреннем рынке; общепризнанную для компаний организационную структуру, интернациональную отчетность; присутствие стратегии становления, направленной на перевоплощение в массовую фирму и воплощаемой в жизнь; статус «голубых фишек»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промоакций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фирмы (необязательно). Место и время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вселенской политическом деятеле и интернациональных отношениях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данные аспекты подходят надлежащие фирмы: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ГМК «Норильский никель», «Северсталь»,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Евразхолдинг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НЛМК,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«Лукойл», «Газпром», МТС,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Вымпелком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ТНК-ВР, РАО «ЕЭС Ро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сии»,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Алроса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Данные фирмы обладают более большими забугорными активами, преднамеренно проводят иностранную экспансию и считаются большими игроками на крупном рынке, в том числе и исходя из объема активов на внутреннем рынке. Еще возможно обозначить наикрупнейшие отечественные банки, имеющие забугорные активы.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Это Внешторгбанк (за счет консолидации прежних европейских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совзагранбанков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Сбербанк,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Альфа-банк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МДМ-банк (последние - за счет активов в государствах СНГ).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докладах ЮНКТАД, рассматривающих работа ТНК, наличествуют и эти отечественные транспортные фирмы, как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Дальневосчеткое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морское пароходство», «Приморское морское пароходство» 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Новошип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Впрочем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полноправный транснациональный статус вызывает колебание, потому что их забугорные активы - суда - только зарегистрированы под «удобными флагами», а практически считаются отечественными. Что касается консульства русских фирм в иных рейтингах, то отметим публикации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Financial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Times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(FT).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перечень 500 огромнейших вселенских фирм по рыночной цены за 2005 г., публикуемый FT, зашли 6 русских фирм («Газпром», «Лукойл», РАО ЕЭС, «Сургутнефтегаз», Сбербанк, ГМК «Норильский никель»).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 этом по результатам 2005 г. ОАО «Газпром» вошло в 10 огромнейших фирм, а к концу 2006 г. и решительно занимает четвертое пространство в мире по рыночной цены.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перечне огромнейших фирм Восточной Европы из 97 фирм - 49 русских, но не все они считаются транснациональными.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моему мнению, основными проблемами российских ТНК являются: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Во-первых, главные конкурентоспособные выдающиеся качества российских фирм основаны на факторных критериях - наличии роскошных природных ресурсов (в случае сырьевых ТНК) или же значимом популяции государства (в случае фирм из сферы предложений - телекоммуникаций и банковского сектора).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если считать, что в границах РФ ещё вероятны консолидации в нефтегазовой и металлургической отраслях, то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крупном рынке ресурсный раздел все в большей степени запирается в реальное время для ПЗИ (так именуемый парадокс феномен «ресурсного национализма», когда правительства государств, роскошных природными ресурсами, мешают зарубежным вложений в данные раздела, стремясь ввести личный контроль над ними).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Экспансии фирм сырьевого раздела еще беспристрастно мешает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самаконструкция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крупного рынка. Гигантская и быстрорастущая толика ПЗИ сконцентрирована в секторе предложений и изготовления, а не добычи и переработки ресурсов.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следствии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этого экспансия сырьевых ТНК ограничена.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Во-вторых,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конкурентность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покупка активов со стороны зарубежных ТНК, финансово и технологически больше более приготовленных для борьбы на крупном рынке.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Отечественные ТНК по уровню технологичности всерьез уступают крупным фаворитам в собственных секторах экономики.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В-третьих, имея хилую становую и отраслевую диверсификацию, отечественные ТНК в случае негативной конъюнктуры имеют все шансы быть сами поглощены западными соперниками в ближайшей обозримой возможности (до 10 лет).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Заточение в реальное время в РФ создались подходящие обстоятельства для формирования ТНК крупного значения в ряде секторов экономики, между ведущих посылов: окончание процесса приватизации в РФ и возведение государственных корпоративных структур, надлежащих вселенской практике;</w:t>
      </w:r>
      <w:proofErr w:type="gramEnd"/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и время во вселенской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политическом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деятеле и интернациональных отношениях муниципальный направление на составление фирм - «национальных чемпионов»; подходящая глобальная конъюнктура, позволившая фирмам накопить ресурсы для последующего расширения; исчерпание критерий для экстенсивного становления в ряде секторов экономики на внутреннем рынке государства. По показателям рыночной стоимости, годового оборота и чистой прибыли крупнейшие компании нефтегазового сектора («Газпром», «Лукойл»), металлургического (ГМК «Норильский никель»,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«Северсталь»,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Евраз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телекоммуникационного («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Вымпелком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МТС) заняли заметные места в рейтингах ведущих мировых компаний.</w:t>
      </w:r>
    </w:p>
    <w:p w:rsidR="00E82625" w:rsidRDefault="00E82625" w:rsidP="00E826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заключени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хочу сказать, что вследствие увеличения зарубежных активов национальными компаниями за последние пять лет в России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ростатом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регистрируется увеличение официальных ПЗИ. Предоставленная обстановка быстро выделяется от положения дел в 1990-х гг., когда вывоз денежных средств из государства осуществлялся в ведущем в незаконной форме. В последующем, возможно, ждать подходящего влияния воздействия прибылей от ПЗИ на платежный баланс РФ, получения отечественными компаниями производственного и технологического навыка от собственных иностранных отрядов, роста торговых трансграничных струй меж отделениями. Совместно с что процесс массовой экспансии русских фирм встречается и с вблизи проблем. Идет по стопам обозначить эти трудности, как: дефект ресурсов в борьбе за забугорные активы с конкурентами; высочайшая цена многообещающих приобретений; трудности с интеграцией приобретенных активов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следствии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недостатка управленческого опыта; недостающая муниципальная помощь русских фирм на крупном рынке.</w:t>
      </w:r>
    </w:p>
    <w:p w:rsidR="00A578CE" w:rsidRDefault="00A578CE">
      <w:bookmarkStart w:id="0" w:name="_GoBack"/>
      <w:bookmarkEnd w:id="0"/>
    </w:p>
    <w:sectPr w:rsidR="00A5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A3"/>
    <w:rsid w:val="00A578CE"/>
    <w:rsid w:val="00DB35A3"/>
    <w:rsid w:val="00E8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6199</Characters>
  <Application>Microsoft Office Word</Application>
  <DocSecurity>0</DocSecurity>
  <Lines>51</Lines>
  <Paragraphs>14</Paragraphs>
  <ScaleCrop>false</ScaleCrop>
  <Company>diakov.net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2023-01-05T06:59:00Z</dcterms:created>
  <dcterms:modified xsi:type="dcterms:W3CDTF">2023-01-05T07:00:00Z</dcterms:modified>
</cp:coreProperties>
</file>